
<file path=[Content_Types].xml><?xml version="1.0" encoding="utf-8"?>
<Types xmlns="http://schemas.openxmlformats.org/package/2006/content-types">
  <Override PartName="/_rels/.rels" ContentType="application/vnd.openxmlformats-package.relationships+xml"/>
  <Override PartName="/word/glossary/fontTable.xml" ContentType="application/vnd.openxmlformats-officedocument.wordprocessingml.fontTable+xml"/>
  <Override PartName="/word/glossary/_rels/document.xml.rels" ContentType="application/vnd.openxmlformats-package.relationships+xml"/>
  <Override PartName="/word/glossary/settings.xml" ContentType="application/vnd.openxmlformats-officedocument.wordprocessingml.settings+xml"/>
  <Override PartName="/word/glossary/styles.xml" ContentType="application/vnd.openxmlformats-officedocument.wordprocessingml.style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png" ContentType="image/png"/>
  <Override PartName="/word/media/image1.png" ContentType="image/png"/>
  <Override PartName="/word/document.xml" ContentType="application/vnd.openxmlformats-officedocument.wordprocessingml.document.main+xml"/>
  <Override PartName="/word/charts/chart3.xml" ContentType="application/vnd.openxmlformats-officedocument.drawingml.chart+xml"/>
  <Override PartName="/word/charts/chart2.xml" ContentType="application/vnd.openxmlformats-officedocument.drawingml.chart+xml"/>
  <Override PartName="/word/charts/_rels/chart3.xml.rels" ContentType="application/vnd.openxmlformats-package.relationships+xml"/>
  <Override PartName="/word/charts/_rels/chart2.xml.rels" ContentType="application/vnd.openxmlformats-package.relationships+xml"/>
  <Override PartName="/word/charts/_rels/chart1.xml.rels" ContentType="application/vnd.openxmlformats-package.relationships+xml"/>
  <Override PartName="/word/charts/chart1.xml" ContentType="application/vnd.openxmlformats-officedocument.drawingml.chart+xml"/>
  <Override PartName="/customXml/_rels/item2.xml.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2.xml" ContentType="application/xml"/>
  <Override PartName="/customXml/item1.xml" ContentType="application/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sdt><w:sdtPr><w:docPartObj><w:docPartGallery w:val="Cover Pages"/><w:docPartUnique w:val="true"/></w:docPartObj><w:id w:val="882392993"/></w:sdtPr><w:sdtContent><w:p><w:pPr><w:pStyle w:val="NoSpacing"/><w:spacing w:before="1540" w:after="240"/><w:jc w:val="center"/><w:rPr><w:color w:val="5B9BD5" w:themeColor="accent1"/></w:rPr></w:pPr><w:r><w:rPr></w:rPr><w:drawing><wp:inline distT="0" distB="0" distL="0" distR="0"><wp:extent cx="1417320" cy="751205"/><wp:effectExtent l="0" t="0" r="0" b="0"/><wp:docPr id="2" name="Picture 143"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2" name="Picture 143" descr=""></pic:cNvPr><pic:cNvPicPr><a:picLocks noChangeAspect="1" noChangeArrowheads="1"/></pic:cNvPicPr></pic:nvPicPr><pic:blipFill><a:blip r:embed="rId2"></a:blip><a:stretch><a:fillRect/></a:stretch></pic:blipFill><pic:spPr bwMode="auto"><a:xfrm><a:off x="0" y="0"/><a:ext cx="1417320" cy="751205"/></a:xfrm><a:prstGeom prst="rect"><a:avLst/></a:prstGeom></pic:spPr></pic:pic></a:graphicData></a:graphic></wp:inline></w:drawing><mc:AlternateContent><mc:Choice Requires="wps"><w:drawing><wp:anchor behindDoc="1" distT="0" distB="0" distL="114300" distR="114300" simplePos="0" locked="0" layoutInCell="1" allowOverlap="1" relativeHeight="2"><wp:simplePos x="0" y="0"/><wp:positionH relativeFrom="page"><wp:align>left</wp:align></wp:positionH><wp:positionV relativeFrom="paragraph"><wp:posOffset>-46990</wp:posOffset></wp:positionV><wp:extent cx="7535545" cy="8869045"/><wp:effectExtent l="0" t="0" r="28575" b="28575"/><wp:wrapNone/><wp:docPr id="1" name="Vertical Scroll 2"/><a:graphic xmlns:a="http://schemas.openxmlformats.org/drawingml/2006/main"><a:graphicData uri="http://schemas.microsoft.com/office/word/2010/wordprocessingShape"><wps:wsp><wps:cNvSpPr/><wps:spPr><a:xfrm><a:off x="0" y="0"/><a:ext cx="7534800" cy="8868240"/></a:xfrm><a:prstGeom prst="verticalScroll"><a:avLst><a:gd name="adj" fmla="val 12500"/></a:avLst></a:prstGeom><a:ln></a:ln></wps:spPr><wps:style><a:lnRef idx="2"><a:schemeClr val="accent1"><a:shade val="50000"/></a:schemeClr></a:lnRef><a:fillRef idx="1"><a:schemeClr val="accent1"/></a:fillRef><a:effectRef idx="0"><a:schemeClr val="accent1"/></a:effectRef><a:fontRef idx="minor"/></wps:style><wps:bodyPr/></wps:wsp></a:graphicData></a:graphic></wp:anchor></w:drawing></mc:Choice><mc:Fallback><w:pict><v:shapetype id="shapetype_97" coordsize="21600,21600" o:spt="97" adj="2700" path="m@1,21600qx@10@11l@1@9qx@12@13qy@14@15l@0@8l@0@1qy@16@17l@6,qx@18@19qy@20@21l@5@0l@5@9qy@22@23xm@4@1qy@24@10qx@25@26qy@27@28xnsem@4@1qy@24@10qx@25@26qy@27@28xm@0@9qy@29@23qx@30@31qy@32@33qx@34@35qy@36@37xnsem@0@8l@0@1qy@16@17l@6,qx@18@19qy@20@21l@5@0l@5@9qy@22@23l@1,21600qx@17@11qy@38@39xm@3,qx@40@19qy@41@21qx@42@43qy@44@45l@4@1m@5@0l@3@0m@1@8qx@12@46qy@14@47l@0@9m@1,21600qx@10@11l@0@8nfe"><v:stroke joinstyle="miter"/><v:formulas><v:f eqn="val #0"/><v:f eqn="prod @0 1 2"/><v:f eqn="prod @0 1 4"/><v:f eqn="sum @0 @1 0"/><v:f eqn="sum @0 @0 0"/><v:f eqn="sum width 0 @0"/><v:f eqn="sum width 0 @1"/><v:f eqn="sum @5 0 @1"/><v:f eqn="sum height 0 @0"/><v:f eqn="sum height 0 @1"/><v:f eqn="sum @1 @1 0"/><v:f eqn="sum 0 21600 @1"/><v:f eqn="sum @2 @1 0"/><v:f eqn="sum 0 @9 @2"/><v:f eqn="sum 0 @12 @2"/><v:f eqn="sum 0 @13 @2"/><v:f eqn="sum @1 @0 0"/><v:f eqn="sum 0 @1 @1"/><v:f eqn="sum @1 @6 0"/><v:f eqn="sum @1 0 0"/><v:f eqn="sum 0 @18 @1"/><v:f eqn="sum @1 @19 0"/><v:f eqn="sum 0 @5 @1"/><v:f eqn="sum @1 @9 0"/><v:f eqn="sum 0 @4 @1"/><v:f eqn="sum 0 @24 @2"/><v:f eqn="sum 0 @10 @2"/><v:f eqn="sum @2 @25 0"/><v:f eqn="sum 0 @26 @2"/><v:f eqn="sum 0 @0 @1"/><v:f eqn="sum 0 @29 @1"/><v:f eqn="sum 0 @23 @1"/><v:f eqn="sum @1 @30 0"/><v:f eqn="sum 0 @31 @1"/><v:f eqn="sum @2 @32 0"/><v:f eqn="sum @2 @33 0"/><v:f eqn="sum 0 @34 @2"/><v:f eqn="sum @2 @35 0"/><v:f eqn="sum @1 @17 0"/><v:f eqn="sum 0 @11 @1"/><v:f eqn="sum @1 @3 0"/><v:f eqn="sum 0 @40 @1"/><v:f eqn="sum 0 @41 @2"/><v:f eqn="sum 0 @21 @2"/><v:f eqn="sum @2 @42 0"/><v:f eqn="sum 0 @43 @2"/><v:f eqn="sum @2 @8 0"/><v:f eqn="sum @2 @46 0"/></v:formulas><v:path gradientshapeok="t" o:connecttype="rect" textboxrect="@0,@0,@5,@9"/><v:handles><v:h position="0,@0"/></v:handles></v:shapetype><v:shape id="shape_0" ID="Vertical Scroll 2" fillcolor="#5b9bd5" stroked="t" style="position:absolute;margin-left:1.9pt;margin-top:-3.7pt;width:593.25pt;height:698.25pt;mso-position-horizontal:left;mso-position-horizontal-relative:page" type="shapetype_97"><w10:wrap type="none"/><v:fill o:detectmouseclick="t" type="solid" color2="#a4642a"/><v:stroke color="#43729d" weight="12600" joinstyle="miter" endcap="flat"/></v:shape></w:pict></mc:Fallback></mc:AlternateContent></w:r></w:p><w:p><w:pPr><w:pStyle w:val="NoSpacing"/><w:pBdr><w:top w:val="single" w:sz="6" w:space="0" w:color="5B9BD5"/><w:bottom w:val="single" w:sz="6" w:space="6" w:color="5B9BD5"/></w:pBdr><w:spacing w:before="0" w:after="240"/><w:jc w:val="center"/><w:rPr><w:rFonts w:ascii="Calibri Light" w:hAnsi="Calibri Light" w:eastAsia="宋体" w:cs="" w:asciiTheme="majorHAnsi" w:cstheme="majorBidi" w:eastAsiaTheme="majorEastAsia" w:hAnsiTheme="majorHAnsi"/><w:caps/><w:color w:val="DEEAF6" w:themeColor="accent1" w:themeTint="33"/><w:sz w:val="80"/><w:szCs w:val="80"/></w:rPr></w:pPr><w:r><w:rPr><w:rFonts w:eastAsia="宋体" w:cs="" w:ascii="Calibri Light" w:hAnsi="Calibri Light" w:asciiTheme="majorHAnsi" w:cstheme="majorBidi" w:eastAsiaTheme="majorEastAsia" w:hAnsiTheme="majorHAnsi"/><w:caps/><w:color w:val="DEEAF6" w:themeColor="accent1" w:themeTint="33"/><w:sz w:val="80"/><w:szCs w:val="80"/></w:rPr><w:t>Customer Service plan</w:t></w:r></w:p></w:sdtContent></w:sdt><w:sdt><w:sdtPr><w:text/><w:id w:val="1199775845"/><w:dataBinding w:prefixMappings="xmlns:ns0=&apos;http://purl.org/dc/elements/1.1/&apos; xmlns:ns1=&apos;http://schemas.openxmlformats.org/package/2006/metadata/core-properties&apos; " w:xpath="/ns1:coreProperties[1]/ns0:subject[1]" w:storeItemID="{6C3C8BC8-F283-45AE-878A-BAB7291924A1}"/><w:alias w:val="Subtitle"/></w:sdtPr><w:sdtContent><w:p><w:pPr><w:pStyle w:val="NoSpacing"/><w:jc w:val="center"/><w:rPr><w:color w:val="DEEAF6" w:themeColor="accent1" w:themeTint="33"/><w:sz w:val="40"/><w:szCs w:val="40"/></w:rPr></w:pPr><w:r><w:rPr><w:color w:val="DEEAF6" w:themeColor="accent1" w:themeTint="33"/><w:sz w:val="40"/><w:szCs w:val="40"/></w:rPr><w:t>METRO INFO</w:t></w:r></w:p></w:sdtContent></w:sdt><w:p><w:pPr><w:pStyle w:val="NoSpacing"/><w:spacing w:before="480" w:after="160"/><w:jc w:val="center"/><w:rPr><w:color w:val="5B9BD5" w:themeColor="accent1"/></w:rPr></w:pPr><w:r><w:rPr></w:rPr><w:drawing><wp:inline distT="0" distB="0" distL="0" distR="0"><wp:extent cx="758825" cy="478790"/><wp:effectExtent l="0" t="0" r="0" b="0"/><wp:docPr id="5" name="Picture 144"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5" name="Picture 144" descr=""></pic:cNvPr><pic:cNvPicPr><a:picLocks noChangeAspect="1" noChangeArrowheads="1"/></pic:cNvPicPr></pic:nvPicPr><pic:blipFill><a:blip r:embed="rId3"></a:blip><a:stretch><a:fillRect/></a:stretch></pic:blipFill><pic:spPr bwMode="auto"><a:xfrm><a:off x="0" y="0"/><a:ext cx="758825" cy="478790"/></a:xfrm><a:prstGeom prst="rect"><a:avLst/></a:prstGeom></pic:spPr></pic:pic></a:graphicData></a:graphic></wp:inline></w:drawing><mc:AlternateContent><mc:Choice Requires="wps"><w:drawing><wp:anchor behindDoc="0" distT="0" distB="0" distL="114300" distR="114300" simplePos="0" locked="0" layoutInCell="1" allowOverlap="1" relativeHeight="3"><wp:simplePos x="0" y="0"/><wp:positionH relativeFrom="margin"><wp:align>center</wp:align></wp:positionH><wp:positionV relativeFrom="page"><wp:posOffset>9088755</wp:posOffset></wp:positionV><wp:extent cx="5731510" cy="558165"/><wp:effectExtent l="0" t="0" r="0" b="12700"/><wp:wrapNone/><wp:docPr id="3" name="Text Box 142"/><a:graphic xmlns:a="http://schemas.openxmlformats.org/drawingml/2006/main"><a:graphicData uri="http://schemas.microsoft.com/office/word/2010/wordprocessingShape"><wps:wsp><wps:cNvSpPr/><wps:spPr><a:xfrm><a:off x="0" y="0"/><a:ext cx="5730840" cy="557640"/></a:xfrm><a:prstGeom prst="rect"><a:avLst></a:avLst></a:prstGeom><a:noFill/><a:ln w="6480"><a:noFill/></a:ln></wps:spPr><wps:style><a:lnRef idx="0"><a:schemeClr val="accent1"/></a:lnRef><a:fillRef idx="0"><a:schemeClr val="accent1"/></a:fillRef><a:effectRef idx="0"><a:schemeClr val="accent1"/></a:effectRef><a:fontRef idx="minor"/></wps:style><wps:txbx><w:txbxContent><w:p><w:pPr><w:pStyle w:val="NoSpacing"/><w:spacing w:before="0" w:after="40"/><w:jc w:val="center"/><w:rPr><w:caps/><w:color w:val="DEEAF6" w:themeColor="accent1" w:themeTint="33"/><w:sz w:val="28"/><w:szCs w:val="28"/></w:rPr></w:pPr><w:r><w:rPr></w:rPr></w:r><w:sdt><w:sdtPr><w:alias w:val="Date"/><w:date w:fullDate="2017-04-05T00:00:00Z"><w:dateFormat w:val="MMMM d, yyyy"/><w:lid w:val="en-US"/><w:storeMappedDataAs w:val="dateTime"/><w:calendar w:val="gregorian"/></w:date></w:sdtPr><w:sdtContent><w:r><w:rPr><w:caps/><w:color w:val="DEEAF6" w:themeColor="accent1" w:themeTint="33"/><w:sz w:val="28"/><w:szCs w:val="28"/></w:rPr><w:t>April 5, 2017</w:t></w:r></w:sdtContent></w:sdt></w:p><w:p><w:pPr><w:pStyle w:val="NoSpacing"/><w:jc w:val="center"/><w:rPr><w:color w:val="DEEAF6" w:themeColor="accent1" w:themeTint="33"/></w:rPr></w:pPr><w:sdt><w:sdtPr><w:text/><w:dataBinding w:prefixMappings="xmlns:ns0=&apos;http://schemas.openxmlformats.org/officeDocument/2006/extended-properties&apos; " w:xpath="/ns0:Properties[1]/ns0:Company[1]" w:storeItemID="{6668398D-A668-4E3E-A5EB-62B293D839F1}"/><w:alias w:val="Company"/></w:sdtPr><w:sdtContent><w:r><w:rPr><w:caps/><w:color w:val="DEEAF6" w:themeColor="accent1" w:themeTint="33"/></w:rPr><w:t>nORTH mETRO TAFE</w:t></w:r></w:sdtContent></w:sdt></w:p><w:p><w:pPr><w:pStyle w:val="NoSpacing"/><w:jc w:val="center"/><w:rPr></w:rPr></w:pPr><w:sdt><w:sdtPr><w:text/><w:dataBinding w:prefixMappings="xmlns:ns0=&apos;http://schemas.microsoft.com/office/2006/coverPageProps&apos; " w:xpath="/ns0:CoverPageProperties[1]/ns0:CompanyAddress[1]" w:storeItemID="{55AF091B-3C7A-41E3-B477-F2FDAA23CFDA}"/><w:alias w:val="Address"/></w:sdtPr><w:sdtContent><w:r><w:rPr><w:color w:val="DEEAF6" w:themeColor="accent1" w:themeTint="33"/></w:rPr><w:t xml:space="preserve">ALMA LUCAS </w:t></w:r></w:sdtContent></w:sdt></w:p></w:txbxContent></wps:txbx><wps:bodyPr lIns="0" rIns="0" tIns="0" bIns="0" anchor="b"><a:prstTxWarp prst="textNoShape"/><a:spAutoFit/></wps:bodyPr></wps:wsp></a:graphicData></a:graphic><wp14:sizeRelH relativeFrom="margin"><wp14:pctWidth>100000</wp14:pctWidth></wp14:sizeRelH></wp:anchor></w:drawing></mc:Choice><mc:Fallback><w:pict><v:rect id="shape_0" ID="Text Box 142" stroked="f" style="position:absolute;margin-left:0pt;margin-top:715.65pt;width:451.2pt;height:43.85pt;mso-position-horizontal:center;mso-position-horizontal-relative:margin;mso-position-vertical-relative:page"><w10:wrap type="square"/><v:fill o:detectmouseclick="t" on="false"/><v:stroke color="#3465a4" weight="6480" joinstyle="round" endcap="flat"/><v:textbox><w:txbxContent><w:p><w:pPr><w:pStyle w:val="NoSpacing"/><w:spacing w:before="0" w:after="40"/><w:jc w:val="center"/><w:rPr><w:caps/><w:color w:val="DEEAF6" w:themeColor="accent1" w:themeTint="33"/><w:sz w:val="28"/><w:szCs w:val="28"/></w:rPr></w:pPr><w:r><w:rPr></w:rPr></w:r><w:sdt><w:sdtPr><w:alias w:val="Date"/><w:date w:fullDate="2017-04-05T00:00:00Z"><w:dateFormat w:val="MMMM d, yyyy"/><w:lid w:val="en-US"/><w:storeMappedDataAs w:val="dateTime"/><w:calendar w:val="gregorian"/></w:date></w:sdtPr><w:sdtContent><w:r><w:rPr><w:caps/><w:color w:val="DEEAF6" w:themeColor="accent1" w:themeTint="33"/><w:sz w:val="28"/><w:szCs w:val="28"/></w:rPr><w:t>April 5, 2017</w:t></w:r></w:sdtContent></w:sdt></w:p><w:p><w:pPr><w:pStyle w:val="NoSpacing"/><w:jc w:val="center"/><w:rPr><w:color w:val="DEEAF6" w:themeColor="accent1" w:themeTint="33"/></w:rPr></w:pPr><w:sdt><w:sdtPr><w:text/><w:dataBinding w:prefixMappings="xmlns:ns0=&apos;http://schemas.openxmlformats.org/officeDocument/2006/extended-properties&apos; " w:xpath="/ns0:Properties[1]/ns0:Company[1]" w:storeItemID="{6668398D-A668-4E3E-A5EB-62B293D839F1}"/><w:alias w:val="Company"/></w:sdtPr><w:sdtContent><w:r><w:rPr><w:caps/><w:color w:val="DEEAF6" w:themeColor="accent1" w:themeTint="33"/></w:rPr><w:t>nORTH mETRO TAFE</w:t></w:r></w:sdtContent></w:sdt></w:p><w:p><w:pPr><w:pStyle w:val="NoSpacing"/><w:jc w:val="center"/><w:rPr></w:rPr></w:pPr><w:sdt><w:sdtPr><w:text/><w:dataBinding w:prefixMappings="xmlns:ns0=&apos;http://schemas.microsoft.com/office/2006/coverPageProps&apos; " w:xpath="/ns0:CoverPageProperties[1]/ns0:CompanyAddress[1]" w:storeItemID="{55AF091B-3C7A-41E3-B477-F2FDAA23CFDA}"/><w:alias w:val="Address"/></w:sdtPr><w:sdtContent><w:r><w:rPr><w:color w:val="DEEAF6" w:themeColor="accent1" w:themeTint="33"/></w:rPr><w:t xml:space="preserve">ALMA LUCAS </w:t></w:r></w:sdtContent></w:sdt></w:p></w:txbxContent></v:textbox></v:rect></w:pict></mc:Fallback></mc:AlternateContent></w:r></w:p><w:p><w:pPr><w:pStyle w:val="Normal"/><w:rPr><w:rFonts w:ascii="Arial" w:hAnsi="Arial" w:eastAsia="宋体" w:cs="Arial" w:eastAsiaTheme="majorEastAsia"/><w:color w:val="2E74B5" w:themeColor="accent1" w:themeShade="bf"/><w:sz w:val="24"/><w:szCs w:val="24"/></w:rPr></w:pPr><w:r><w:rPr><w:rFonts w:eastAsia="宋体" w:cs="Arial" w:eastAsiaTheme="majorEastAsia" w:ascii="Arial" w:hAnsi="Arial"/><w:color w:val="2E74B5" w:themeColor="accent1" w:themeShade="bf"/><w:sz w:val="24"/><w:szCs w:val="24"/></w:rPr></w:r><w:r><w:br w:type="page"/></w:r></w:p><w:p><w:pPr><w:pStyle w:val="Normal"/><w:spacing w:lineRule="auto" w:line="360"/><w:rPr><w:rFonts w:ascii="Arial" w:hAnsi="Arial" w:cs="Arial"/><w:sz w:val="24"/><w:szCs w:val="24"/></w:rPr></w:pPr><w:r><w:rPr><w:rFonts w:cs="Arial" w:ascii="Arial" w:hAnsi="Arial"/><w:sz w:val="24"/><w:szCs w:val="24"/></w:rPr></w:r></w:p><w:p><w:pPr><w:pStyle w:val="Normal"/><w:spacing w:lineRule="auto" w:line="360"/><w:rPr><w:rFonts w:ascii="Arial" w:hAnsi="Arial" w:cs="Arial"/><w:sz w:val="24"/><w:szCs w:val="24"/></w:rPr></w:pPr><w:r><w:rPr><w:rFonts w:cs="Arial" w:ascii="Arial" w:hAnsi="Arial"/><w:sz w:val="24"/><w:szCs w:val="24"/></w:rPr></w:r></w:p><w:sdt><w:sdtPr><w:docPartObj><w:docPartGallery w:val="Table of Contents"/><w:docPartUnique w:val="true"/></w:docPartObj><w:id w:val="1883572358"/></w:sdtPr><w:sdtContent><w:p><w:pPr><w:pStyle w:val="TOCHeading"/><w:rPr></w:rPr></w:pPr><w:r><w:rPr></w:rPr><w:t>Contents</w:t></w:r></w:p><w:p><w:pPr><w:pStyle w:val="Normal"/><w:rPr></w:rPr></w:pPr><w:r><w:rPr></w:rPr></w:r></w:p><w:p><w:pPr><w:pStyle w:val="Contents1"/><w:tabs><w:tab w:val="right" w:pos="9016" w:leader="dot"/></w:tabs><w:rPr></w:rPr></w:pPr><w:r><w:fldChar w:fldCharType="begin"></w:fldChar></w:r><w:r><w:instrText> TOC \z \o &quot;1-3&quot; \u \h</w:instrText></w:r><w:r><w:fldChar w:fldCharType="separate"/></w:r><w:hyperlink w:anchor="_Toc476131828"><w:r><w:rPr><w:webHidden/><w:rStyle w:val="IndexLink"/><w:rFonts w:cs="Arial" w:ascii="Arial" w:hAnsi="Arial"/><w:vanish w:val="false"/></w:rPr><w:t>1 Introduction and Overview</w:t></w:r><w:r><w:rPr><w:webHidden/></w:rPr><w:fldChar w:fldCharType="begin"></w:fldChar></w:r><w:r><w:rPr><w:webHidden/></w:rPr><w:instrText>PAGEREF _Toc476131828 \h</w:instrText></w:r><w:r><w:rPr><w:webHidden/></w:rPr><w:fldChar w:fldCharType="separate"/></w:r><w:r><w:rPr><w:rStyle w:val="IndexLink"/><w:vanish w:val="false"/></w:rPr><w:tab/><w:t>1</w:t></w:r><w:r><w:rPr><w:webHidden/></w:rPr><w:fldChar w:fldCharType="end"/></w:r></w:hyperlink></w:p><w:p><w:pPr><w:pStyle w:val="Normal"/><w:rPr></w:rPr></w:pPr><w:r><w:rPr></w:rPr></w:r></w:p><w:p><w:pPr><w:pStyle w:val="Contents1"/><w:tabs><w:tab w:val="right" w:pos="9016" w:leader="dot"/></w:tabs><w:rPr></w:rPr></w:pPr><w:hyperlink w:anchor="_Toc476131829"><w:r><w:rPr><w:webHidden/><w:rStyle w:val="IndexLink"/><w:rFonts w:cs="Arial" w:ascii="Arial" w:hAnsi="Arial"/><w:vanish w:val="false"/></w:rPr><w:t>2 Vision and Goals</w:t></w:r><w:r><w:rPr><w:webHidden/></w:rPr><w:fldChar w:fldCharType="begin"></w:fldChar></w:r><w:r><w:rPr><w:webHidden/></w:rPr><w:instrText>PAGEREF _Toc476131829 \h</w:instrText></w:r><w:r><w:rPr><w:webHidden/></w:rPr><w:fldChar w:fldCharType="separate"/></w:r><w:r><w:rPr><w:rStyle w:val="IndexLink"/><w:vanish w:val="false"/></w:rPr><w:tab/><w:t>1</w:t></w:r><w:r><w:rPr><w:webHidden/></w:rPr><w:fldChar w:fldCharType="end"/></w:r></w:hyperlink></w:p><w:p><w:pPr><w:pStyle w:val="Normal"/><w:rPr></w:rPr></w:pPr><w:r><w:rPr></w:rPr></w:r></w:p><w:p><w:pPr><w:pStyle w:val="Contents1"/><w:tabs><w:tab w:val="right" w:pos="9016" w:leader="dot"/></w:tabs><w:rPr></w:rPr></w:pPr><w:hyperlink w:anchor="_Toc476131830"><w:r><w:rPr><w:webHidden/><w:rStyle w:val="IndexLink"/><w:rFonts w:cs="Arial" w:ascii="Arial" w:hAnsi="Arial"/><w:vanish w:val="false"/></w:rPr><w:t>3 Customer Categories</w:t></w:r><w:r><w:rPr><w:webHidden/></w:rPr><w:fldChar w:fldCharType="begin"></w:fldChar></w:r><w:r><w:rPr><w:webHidden/></w:rPr><w:instrText>PAGEREF _Toc476131830 \h</w:instrText></w:r><w:r><w:rPr><w:webHidden/></w:rPr><w:fldChar w:fldCharType="separate"/></w:r><w:r><w:rPr><w:rStyle w:val="IndexLink"/><w:vanish w:val="false"/></w:rPr><w:tab/><w:t>2</w:t></w:r><w:r><w:rPr><w:webHidden/></w:rPr><w:fldChar w:fldCharType="end"/></w:r></w:hyperlink></w:p><w:p><w:pPr><w:pStyle w:val="Normal"/><w:rPr></w:rPr></w:pPr><w:r><w:rPr></w:rPr></w:r></w:p><w:p><w:pPr><w:pStyle w:val="Contents1"/><w:tabs><w:tab w:val="right" w:pos="9016" w:leader="dot"/></w:tabs><w:rPr></w:rPr></w:pPr><w:hyperlink w:anchor="_Toc476131831"><w:r><w:rPr><w:webHidden/><w:rStyle w:val="IndexLink"/><w:rFonts w:cs="Arial" w:ascii="Arial" w:hAnsi="Arial"/><w:vanish w:val="false"/></w:rPr><w:t>4 Customer Feedback and Gap Analysis</w:t></w:r><w:r><w:rPr><w:webHidden/></w:rPr><w:fldChar w:fldCharType="begin"></w:fldChar></w:r><w:r><w:rPr><w:webHidden/></w:rPr><w:instrText>PAGEREF _Toc476131831 \h</w:instrText></w:r><w:r><w:rPr><w:webHidden/></w:rPr><w:fldChar w:fldCharType="separate"/></w:r><w:r><w:rPr><w:rStyle w:val="IndexLink"/><w:vanish w:val="false"/></w:rPr><w:tab/><w:t>2</w:t></w:r><w:r><w:rPr><w:webHidden/></w:rPr><w:fldChar w:fldCharType="end"/></w:r></w:hyperlink></w:p><w:p><w:pPr><w:pStyle w:val="Normal"/><w:rPr></w:rPr></w:pPr><w:r><w:rPr></w:rPr></w:r></w:p><w:p><w:pPr><w:pStyle w:val="Contents1"/><w:tabs><w:tab w:val="right" w:pos="9016" w:leader="dot"/></w:tabs><w:rPr></w:rPr></w:pPr><w:hyperlink w:anchor="_Toc476131832"><w:r><w:rPr><w:webHidden/><w:rStyle w:val="IndexLink"/><w:rFonts w:cs="Arial" w:ascii="Arial" w:hAnsi="Arial"/><w:vanish w:val="false"/></w:rPr><w:t>5 Strategies for Improvement</w:t></w:r><w:r><w:rPr><w:webHidden/></w:rPr><w:fldChar w:fldCharType="begin"></w:fldChar></w:r><w:r><w:rPr><w:webHidden/></w:rPr><w:instrText>PAGEREF _Toc476131832 \h</w:instrText></w:r><w:r><w:rPr><w:webHidden/></w:rPr><w:fldChar w:fldCharType="separate"/></w:r><w:r><w:rPr><w:rStyle w:val="IndexLink"/><w:vanish w:val="false"/></w:rPr><w:tab/><w:t>2</w:t></w:r><w:r><w:rPr><w:webHidden/></w:rPr><w:fldChar w:fldCharType="end"/></w:r></w:hyperlink></w:p><w:p><w:pPr><w:pStyle w:val="Normal"/><w:rPr></w:rPr></w:pPr><w:r><w:rPr></w:rPr></w:r></w:p><w:p><w:pPr><w:pStyle w:val="Contents1"/><w:tabs><w:tab w:val="right" w:pos="9016" w:leader="dot"/></w:tabs><w:rPr></w:rPr></w:pPr><w:hyperlink w:anchor="_Toc476131833"><w:r><w:rPr><w:webHidden/><w:rStyle w:val="IndexLink"/><w:rFonts w:cs="Arial" w:ascii="Arial" w:hAnsi="Arial"/><w:vanish w:val="false"/></w:rPr><w:t>6 References</w:t></w:r><w:r><w:rPr><w:webHidden/></w:rPr><w:fldChar w:fldCharType="begin"></w:fldChar></w:r><w:r><w:rPr><w:webHidden/></w:rPr><w:instrText>PAGEREF _Toc476131833 \h</w:instrText></w:r><w:r><w:rPr><w:webHidden/></w:rPr><w:fldChar w:fldCharType="separate"/></w:r><w:r><w:rPr><w:rStyle w:val="IndexLink"/><w:vanish w:val="false"/></w:rPr><w:tab/><w:t>3</w:t></w:r><w:r><w:rPr><w:webHidden/></w:rPr><w:fldChar w:fldCharType="end"/></w:r></w:hyperlink></w:p><w:p><w:pPr><w:pStyle w:val="Normal"/><w:rPr></w:rPr></w:pPr><w:r><w:rPr></w:rPr></w:r><w:r><w:fldChar w:fldCharType="end"/></w:r></w:p></w:sdtContent></w:sdt><w:p><w:pPr><w:pStyle w:val="Normal"/><w:spacing w:lineRule="auto" w:line="360"/><w:rPr><w:rFonts w:ascii="Arial" w:hAnsi="Arial" w:cs="Arial"/><w:sz w:val="24"/><w:szCs w:val="24"/></w:rPr></w:pPr><w:r><w:rPr><w:rFonts w:cs="Arial" w:ascii="Arial" w:hAnsi="Arial"/><w:sz w:val="24"/><w:szCs w:val="24"/></w:rPr></w:r></w:p><w:p><w:pPr><w:pStyle w:val="Normal"/><w:spacing w:lineRule="auto" w:line="360"/><w:rPr><w:rFonts w:ascii="Arial" w:hAnsi="Arial" w:cs="Arial"/><w:sz w:val="24"/><w:szCs w:val="24"/></w:rPr></w:pPr><w:r><w:rPr><w:rFonts w:cs="Arial" w:ascii="Arial" w:hAnsi="Arial"/><w:sz w:val="24"/><w:szCs w:val="24"/></w:rPr></w:r></w:p><w:p><w:pPr><w:pStyle w:val="Normal"/><w:spacing w:lineRule="auto" w:line="360"/><w:rPr><w:rFonts w:ascii="Arial" w:hAnsi="Arial" w:cs="Arial"/><w:sz w:val="24"/><w:szCs w:val="24"/></w:rPr></w:pPr><w:r><w:rPr><w:rFonts w:cs="Arial" w:ascii="Arial" w:hAnsi="Arial"/><w:sz w:val="24"/><w:szCs w:val="24"/></w:rPr></w:r></w:p><w:p><w:pPr><w:pStyle w:val="Normal"/><w:spacing w:lineRule="auto" w:line="360"/><w:rPr><w:rFonts w:ascii="Arial" w:hAnsi="Arial" w:cs="Arial"/><w:sz w:val="24"/><w:szCs w:val="24"/></w:rPr></w:pPr><w:r><w:rPr><w:rFonts w:cs="Arial" w:ascii="Arial" w:hAnsi="Arial"/><w:sz w:val="24"/><w:szCs w:val="24"/></w:rPr></w:r></w:p><w:p><w:pPr><w:pStyle w:val="Normal"/><w:spacing w:lineRule="auto" w:line="360"/><w:rPr><w:rFonts w:ascii="Arial" w:hAnsi="Arial" w:cs="Arial"/><w:sz w:val="24"/><w:szCs w:val="24"/></w:rPr></w:pPr><w:r><w:rPr><w:rFonts w:cs="Arial" w:ascii="Arial" w:hAnsi="Arial"/><w:sz w:val="24"/><w:szCs w:val="24"/></w:rPr></w:r></w:p><w:p><w:pPr><w:pStyle w:val="Normal"/><w:spacing w:lineRule="auto" w:line="360"/><w:rPr><w:rFonts w:ascii="Arial" w:hAnsi="Arial" w:cs="Arial"/><w:sz w:val="24"/><w:szCs w:val="24"/></w:rPr></w:pPr><w:r><w:rPr><w:rFonts w:cs="Arial" w:ascii="Arial" w:hAnsi="Arial"/><w:sz w:val="24"/><w:szCs w:val="24"/></w:rPr></w:r></w:p><w:p><w:pPr><w:pStyle w:val="Normal"/><w:spacing w:lineRule="auto" w:line="360"/><w:rPr><w:rFonts w:ascii="Arial" w:hAnsi="Arial" w:cs="Arial"/><w:sz w:val="24"/><w:szCs w:val="24"/></w:rPr></w:pPr><w:r><w:rPr><w:rFonts w:cs="Arial" w:ascii="Arial" w:hAnsi="Arial"/><w:sz w:val="24"/><w:szCs w:val="24"/></w:rPr></w:r></w:p><w:p><w:pPr><w:pStyle w:val="Normal"/><w:spacing w:lineRule="auto" w:line="360"/><w:rPr><w:rFonts w:ascii="Arial" w:hAnsi="Arial" w:cs="Arial"/><w:sz w:val="24"/><w:szCs w:val="24"/></w:rPr></w:pPr><w:r><w:rPr><w:rFonts w:cs="Arial" w:ascii="Arial" w:hAnsi="Arial"/><w:sz w:val="24"/><w:szCs w:val="24"/></w:rPr></w:r></w:p><w:p><w:pPr><w:pStyle w:val="Normal"/><w:spacing w:lineRule="auto" w:line="360"/><w:rPr><w:rFonts w:ascii="Arial" w:hAnsi="Arial" w:cs="Arial"/><w:sz w:val="24"/><w:szCs w:val="24"/></w:rPr></w:pPr><w:r><w:rPr><w:rFonts w:cs="Arial" w:ascii="Arial" w:hAnsi="Arial"/><w:sz w:val="24"/><w:szCs w:val="24"/></w:rPr></w:r></w:p><w:p><w:pPr><w:pStyle w:val="Heading1"/><w:spacing w:lineRule="auto" w:line="360"/><w:rPr><w:rFonts w:ascii="Arial" w:hAnsi="Arial" w:eastAsia="宋体" w:cs="Arial" w:eastAsiaTheme="minorEastAsia"/><w:color w:val="00000A"/><w:sz w:val="24"/><w:szCs w:val="24"/></w:rPr></w:pPr><w:r><w:rPr><w:rFonts w:eastAsia="宋体" w:cs="Arial" w:eastAsiaTheme="minorEastAsia" w:ascii="Arial" w:hAnsi="Arial"/><w:color w:val="00000A"/><w:sz w:val="24"/><w:szCs w:val="24"/></w:rPr></w:r></w:p><w:p><w:pPr><w:pStyle w:val="Normal"/><w:rPr></w:rPr></w:pPr><w:r><w:rPr></w:rPr></w:r></w:p><w:p><w:pPr><w:pStyle w:val="Heading1"/><w:spacing w:lineRule="auto" w:line="360"/><w:rPr><w:rFonts w:ascii="Arial" w:hAnsi="Arial" w:cs="Arial"/><w:sz w:val="24"/><w:szCs w:val="24"/></w:rPr></w:pPr><w:bookmarkStart w:id="0" w:name="_Toc476131828"/><w:bookmarkEnd w:id="0"/><w:r><w:rPr><w:rFonts w:cs="Arial" w:ascii="Arial" w:hAnsi="Arial"/><w:sz w:val="24"/><w:szCs w:val="24"/></w:rPr><w:t>1 Introduction and Overview</w:t></w:r></w:p><w:p><w:pPr><w:pStyle w:val="Normal"/><w:rPr></w:rPr></w:pPr><w:r><w:rPr></w:rPr></w:r></w:p><w:p><w:pPr><w:pStyle w:val="Normal"/><w:spacing w:lineRule="auto" w:line="360"/><w:ind w:firstLine="720"/><w:rPr><w:rFonts w:ascii="Arial" w:hAnsi="Arial" w:cs="Arial"/><w:sz w:val="24"/><w:szCs w:val="24"/></w:rPr></w:pPr><w:r><w:rPr><w:rFonts w:cs="Arial" w:ascii="Arial" w:hAnsi="Arial"/><w:sz w:val="24"/><w:szCs w:val="24"/></w:rPr><w:t xml:space="preserve">Metro-Info is the Metropolis Library’s community information service based within the Metropolis Public Library. Metro-Info provides local and current information, drawn from government, non-government, community-based, and a few private sector organisations, on a plethora of topics. In addition to this service, it provides an electronic calendar of upcoming events through a regular e-newsletter available to the community via voluntary and free sign up to the Metro-Info automatic mailing list. The Metro-Info service employs Community Information Officer who is a full-time library technician responsible for responding to the majority of enquiries, updating online information and the electronic events calendar; and a small number of library assistants responsible for general library duties, covering lunch breaks and leave periods. </w:t></w:r></w:p><w:p><w:pPr><w:pStyle w:val="Normal"/><w:spacing w:lineRule="auto" w:line="360"/><w:ind w:firstLine="720"/><w:rPr><w:rFonts w:ascii="Arial" w:hAnsi="Arial" w:cs="Arial"/><w:sz w:val="24"/><w:szCs w:val="24"/></w:rPr></w:pPr><w:r><w:rPr><w:rFonts w:cs="Arial" w:ascii="Arial" w:hAnsi="Arial"/><w:sz w:val="24"/><w:szCs w:val="24"/></w:rPr><w:t>As the City of Metropolis gradually undergoes a demographic change, there have been observed changes in the needs of the community, affecting the Metropolis Library and the Metro-Info service. What used to be a community of older, lower-income residents is being replaced by a younger cohort of singles, couples and young families, as well as more affluent retirees and those in their twenties staying longer at home. This has resulted in increased density of housing, leading to increased rents and less available public housing, greater use of schools, retail, and fitness facilities. These changes have reflected in the use of Metropolis Library services, with greater demand placed on computers, internet access and online resources, and children’s activities and community information. All of these changes combined are increasing pressures on staff to provide an increasing level of customer service while adapting to using a greater number of technologies to deliver this.</w:t></w:r></w:p><w:p><w:pPr><w:pStyle w:val="Normal"/><w:spacing w:lineRule="auto" w:line="360"/><w:ind w:firstLine="720"/><w:rPr><w:rFonts w:ascii="Arial" w:hAnsi="Arial" w:cs="Arial"/><w:sz w:val="24"/><w:szCs w:val="24"/></w:rPr></w:pPr><w:r><w:rPr><w:rFonts w:cs="Arial" w:ascii="Arial" w:hAnsi="Arial"/><w:sz w:val="24"/><w:szCs w:val="24"/></w:rPr><w:t>The purpose of this customer service plan is to provide recommendations for improvements to Metro-Info services in the next year. This customer service plan deeply examines customer perceptions and expectations of the Metro-Info service, and provides a guide to the process of bringing Metro-Info customer service activities into line with customer needs and the overarching plans and policies of the Metropolis Library and the City of Metropolis. Further, this plan will define an achievable vision for Metro-Info, present data on the current use of Metro-Info services, define client demographics, analyse client feedback, and define strategies to improve the use and usefulness of Metro-Info to the Metropolis community.</w:t></w:r></w:p><w:p><w:pPr><w:pStyle w:val="Normal"/><w:spacing w:lineRule="auto" w:line="360"/><w:rPr><w:rFonts w:ascii="Arial" w:hAnsi="Arial" w:cs="Arial"/><w:sz w:val="24"/><w:szCs w:val="24"/></w:rPr></w:pPr><w:r><w:rPr><w:rFonts w:cs="Arial" w:ascii="Arial" w:hAnsi="Arial"/><w:sz w:val="24"/><w:szCs w:val="24"/></w:rPr></w:r></w:p><w:p><w:pPr><w:pStyle w:val="Heading1"/><w:spacing w:lineRule="auto" w:line="360"/><w:rPr><w:rFonts w:ascii="Arial" w:hAnsi="Arial" w:cs="Arial"/><w:sz w:val="24"/><w:szCs w:val="24"/></w:rPr></w:pPr><w:bookmarkStart w:id="1" w:name="_Toc476131829"/><w:bookmarkEnd w:id="1"/><w:r><w:rPr><w:rFonts w:cs="Arial" w:ascii="Arial" w:hAnsi="Arial"/><w:sz w:val="24"/><w:szCs w:val="24"/></w:rPr><w:t>2 Vision and Goals</w:t></w:r></w:p><w:p><w:pPr><w:pStyle w:val="Normal"/><w:spacing w:lineRule="auto" w:line="360"/><w:rPr><w:rFonts w:ascii="Arial" w:hAnsi="Arial" w:cs="Arial"/><w:sz w:val="24"/><w:szCs w:val="24"/></w:rPr></w:pPr><w:r><w:rPr><w:rFonts w:cs="Arial" w:ascii="Arial" w:hAnsi="Arial"/><w:sz w:val="24"/><w:szCs w:val="24"/></w:rPr></w:r></w:p><w:p><w:pPr><w:pStyle w:val="Normal"/><w:spacing w:lineRule="auto" w:line="360"/><w:ind w:firstLine="720"/><w:rPr></w:rPr></w:pPr><w:r><w:rPr><w:rFonts w:cs="Arial" w:ascii="Arial" w:hAnsi="Arial"/><w:sz w:val="24"/><w:szCs w:val="24"/></w:rPr><w:t>Metro-Info services’ vision supports the City of Metropolis’ vision by delivering client-focused strategies, orienting itself so as to be the primary source for all local community information needs, and ensuring the service continues to be free, fast, and relevant to the local community.</w:t></w:r></w:p><w:p><w:pPr><w:pStyle w:val="Normal"/><w:spacing w:lineRule="auto" w:line="360"/><w:ind w:firstLine="720"/><w:rPr></w:rPr></w:pPr><w:r><w:rPr><w:rFonts w:cs="Arial" w:ascii="Arial" w:hAnsi="Arial"/><w:sz w:val="24"/><w:szCs w:val="24"/></w:rPr><w:t xml:space="preserve">Metro-Info will achieve the above vision by: investing in regular, high quality, and current training for all of its staff, so that the staff will be confident and comfortable providing Metro-Info’s clients with a professional, efficient, and friendly service, aiming at over 90% satisfaction rate reflected in subsequent surveys. Further, Metro-Info will achieve the above vision by liaising with the City of Metropolis ICT team in order to develop </w:t></w:r><w:r><w:rPr><w:rFonts w:cs="Arial" w:ascii="Arial" w:hAnsi="Arial"/><w:sz w:val="24"/><w:szCs w:val="24"/></w:rPr><w:t>a mobile</w:t></w:r><w:r><w:rPr><w:rFonts w:cs="Arial" w:ascii="Arial" w:hAnsi="Arial"/><w:sz w:val="24"/><w:szCs w:val="24"/></w:rPr><w:t xml:space="preserve"> application to further enhance the delivery of Metro-Info’s services.</w:t></w:r></w:p><w:p><w:pPr><w:pStyle w:val="Normal"/><w:spacing w:lineRule="auto" w:line="360"/><w:ind w:firstLine="720"/><w:rPr></w:rPr></w:pPr><w:r><w:rPr><w:rFonts w:cs="Arial" w:ascii="Arial" w:hAnsi="Arial"/><w:sz w:val="24"/><w:szCs w:val="24"/></w:rPr><w:t>These goals will be achieved in strict adherence to industry standards and in accordance with ALIA customer service guidelines for libraries</w:t></w:r><w:bookmarkStart w:id="2" w:name="_GoBack"/><w:bookmarkEnd w:id="2"/><w:r><w:rPr><w:rFonts w:cs="Arial" w:ascii="Arial" w:hAnsi="Arial"/><w:sz w:val="24"/><w:szCs w:val="24"/></w:rPr><w:t xml:space="preserve"> and library services.</w:t></w:r></w:p><w:p><w:pPr><w:pStyle w:val="Normal"/><w:spacing w:lineRule="auto" w:line="360"/><w:ind w:firstLine="720"/><w:rPr><w:rFonts w:ascii="Arial" w:hAnsi="Arial" w:cs="Arial"/><w:sz w:val="24"/><w:szCs w:val="24"/></w:rPr></w:pPr><w:r><w:rPr><w:rFonts w:cs="Arial" w:ascii="Arial" w:hAnsi="Arial"/><w:sz w:val="24"/><w:szCs w:val="24"/></w:rPr></w:r></w:p><w:p><w:pPr><w:pStyle w:val="Heading1"/><w:spacing w:lineRule="auto" w:line="360"/><w:rPr><w:rFonts w:ascii="Arial" w:hAnsi="Arial" w:cs="Arial"/><w:sz w:val="24"/><w:szCs w:val="24"/></w:rPr></w:pPr><w:bookmarkStart w:id="3" w:name="_Toc476131830"/><w:bookmarkEnd w:id="3"/><w:r><w:rPr><w:rFonts w:cs="Arial" w:ascii="Arial" w:hAnsi="Arial"/><w:sz w:val="24"/><w:szCs w:val="24"/></w:rPr><w:t>3 Customer Categories</w:t></w:r></w:p><w:p><w:pPr><w:pStyle w:val="Normal"/><w:spacing w:lineRule="auto" w:line="360"/><w:rPr><w:rFonts w:ascii="Arial" w:hAnsi="Arial" w:cs="Arial"/><w:sz w:val="24"/><w:szCs w:val="24"/></w:rPr></w:pPr><w:r><w:rPr><w:rFonts w:cs="Arial" w:ascii="Arial" w:hAnsi="Arial"/><w:sz w:val="24"/><w:szCs w:val="24"/></w:rPr></w:r></w:p><w:p><w:pPr><w:pStyle w:val="Normal"/><w:spacing w:lineRule="auto" w:line="360"/><w:ind w:firstLine="720"/><w:rPr></w:rPr></w:pPr><w:r><w:rPr><w:rFonts w:cs="Arial" w:ascii="Arial" w:hAnsi="Arial"/><w:sz w:val="24"/><w:szCs w:val="24"/></w:rPr><w:t xml:space="preserve">As previously stated in the introduction, the demographics of the community that Metro-Info services have shifted over time to now include a wider range of client groups. This has resulted in a change in what the community needs from the service and the means through which the service is utilised. </w:t></w:r></w:p><w:p><w:pPr><w:pStyle w:val="Normal"/><w:spacing w:lineRule="auto" w:line="360"/><w:ind w:firstLine="720"/><w:rPr></w:rPr></w:pPr><w:r><w:rPr><w:rFonts w:cs="Arial" w:ascii="Arial" w:hAnsi="Arial"/><w:sz w:val="24"/><w:szCs w:val="24"/></w:rPr><w:t xml:space="preserve">The members of the local community have become increasingly those who are technologically capable, or even what are called digital natives, with most households using internet, smartphones and social media across multiple age groups. </w:t></w:r></w:p><w:p><w:pPr><w:pStyle w:val="Normal"/><w:spacing w:lineRule="auto" w:line="360"/><w:ind w:firstLine="720"/><w:rPr></w:rPr></w:pPr><w:r><w:rPr><w:rFonts w:cs="Arial" w:ascii="Arial" w:hAnsi="Arial"/><w:sz w:val="24"/><w:szCs w:val="24"/></w:rPr><w:t>The following table is a percentage breakdown of Metro-Info clients.</w:t></w:r></w:p><w:p><w:pPr><w:pStyle w:val="Normal"/><w:spacing w:lineRule="auto" w:line="360"/><w:ind w:firstLine="720"/><w:rPr><w:rFonts w:ascii="Arial" w:hAnsi="Arial" w:cs="Arial"/><w:sz w:val="24"/><w:szCs w:val="24"/></w:rPr></w:pPr><w:r><w:rPr><w:rFonts w:cs="Arial" w:ascii="Arial" w:hAnsi="Arial"/><w:sz w:val="24"/><w:szCs w:val="24"/></w:rPr></w:r></w:p><w:tbl><w:tblPr><w:tblStyle w:val="GridTable1Light-Accent1"/><w:tblW w:w="4673" w:type="dxa"/><w:jc w:val="center"/><w:tblInd w:w="0" w:type="dxa"/><w:tblCellMar><w:top w:w="0" w:type="dxa"/><w:left w:w="103" w:type="dxa"/><w:bottom w:w="0" w:type="dxa"/><w:right w:w="108" w:type="dxa"/></w:tblCellMar><w:tblLook w:val="04a0" w:noVBand="1" w:noHBand="0" w:lastColumn="0" w:firstColumn="1" w:lastRow="0" w:firstRow="1"/></w:tblPr><w:tblGrid><w:gridCol w:w="2829"/><w:gridCol w:w="1843"/></w:tblGrid><w:tr><w:trPr><w:cnfStyle w:val="100000000000" w:firstRow="1" w:lastRow="0" w:firstColumn="0" w:lastColumn="0" w:oddVBand="0" w:evenVBand="0" w:oddHBand="0" w:evenHBand="0" w:firstRowFirstColumn="0" w:firstRowLastColumn="0" w:lastRowFirstColumn="0" w:lastRowLastColumn="0"/></w:trPr><w:tc><w:tcPr><w:tcW w:w="2829" w:type="dxa"/><w:cnfStyle w:val="001000000000" w:firstRow="0" w:lastRow="0" w:firstColumn="1" w:lastColumn="0" w:oddVBand="0" w:evenVBand="0" w:oddHBand="0" w:evenHBand="0" w:firstRowFirstColumn="0" w:firstRowLastColumn="0" w:lastRowFirstColumn="0" w:lastRowLastColumn="0"/><w:tcBorders><w:bottom w:val="single" w:sz="12" w:space="0" w:color="9CC2E5"/><w:insideH w:val="single" w:sz="12" w:space="0" w:color="9CC2E5"/></w:tcBorders><w:shd w:fill="auto" w:val="clear"/><w:tcMar><w:left w:w="103" w:type="dxa"/></w:tcMar></w:tcPr><w:p><w:pPr><w:pStyle w:val="Normal"/><w:spacing w:lineRule="auto" w:line="360" w:before="0" w:after="0"/><w:rPr><w:rFonts w:ascii="Arial" w:hAnsi="Arial" w:cs="Arial"/><w:sz w:val="24"/><w:szCs w:val="24"/></w:rPr></w:pPr><w:r><w:rPr><w:rFonts w:cs="Arial" w:ascii="Arial" w:hAnsi="Arial"/><w:b/><w:bCs/><w:sz w:val="24"/><w:szCs w:val="24"/></w:rPr><w:t>Clients</w:t></w:r></w:p></w:tc><w:tc><w:tcPr><w:tcW w:w="1843" w:type="dxa"/><w:tcBorders><w:bottom w:val="single" w:sz="12" w:space="0" w:color="9CC2E5"/><w:insideH w:val="single" w:sz="12" w:space="0" w:color="9CC2E5"/></w:tcBorders><w:shd w:fill="auto" w:val="clear"/><w:tcMar><w:left w:w="103" w:type="dxa"/></w:tcMar></w:tcPr><w:p><w:pPr><w:pStyle w:val="Normal"/><w:spacing w:lineRule="auto" w:line="360" w:before="0" w:after="0"/><w:cnfStyle w:val="100000000000" w:firstRow="1" w:lastRow="0" w:firstColumn="0" w:lastColumn="0" w:oddVBand="0" w:evenVBand="0" w:oddHBand="0" w:evenHBand="0" w:firstRowFirstColumn="0" w:firstRowLastColumn="0" w:lastRowFirstColumn="0" w:lastRowLastColumn="0"/><w:rPr><w:rFonts w:ascii="Arial" w:hAnsi="Arial" w:cs="Arial"/><w:sz w:val="24"/><w:szCs w:val="24"/></w:rPr></w:pPr><w:r><w:rPr><w:rFonts w:cs="Arial" w:ascii="Arial" w:hAnsi="Arial"/><w:b/><w:bCs/><w:sz w:val="24"/><w:szCs w:val="24"/></w:rPr><w:t>% out of 100</w:t></w:r></w:p></w:tc></w:tr><w:tr><w:trPr></w:trPr><w:tc><w:tcPr><w:tcW w:w="2829" w:type="dxa"/><w:cnfStyle w:val="001000000000" w:firstRow="0" w:lastRow="0" w:firstColumn="1" w:lastColumn="0" w:oddVBand="0" w:evenVBand="0" w:oddHBand="0" w:evenHBand="0" w:firstRowFirstColumn="0" w:firstRowLastColumn="0" w:lastRowFirstColumn="0" w:lastRowLastColumn="0"/><w:tcBorders></w:tcBorders><w:shd w:fill="auto" w:val="clear"/><w:tcMar><w:left w:w="103" w:type="dxa"/></w:tcMar></w:tcPr><w:p><w:pPr><w:pStyle w:val="Normal"/><w:spacing w:lineRule="auto" w:line="360" w:before="0" w:after="0"/><w:rPr><w:rFonts w:ascii="Arial" w:hAnsi="Arial" w:cs="Arial"/><w:sz w:val="24"/><w:szCs w:val="24"/></w:rPr></w:pPr><w:r><w:rPr><w:rFonts w:cs="Arial" w:ascii="Arial" w:hAnsi="Arial"/><w:b/><w:bCs/><w:sz w:val="24"/><w:szCs w:val="24"/></w:rPr><w:t>New Residents</w:t></w:r></w:p></w:tc><w:tc><w:tcPr><w:tcW w:w="1843" w:type="dxa"/><w:tcBorders></w:tcBorders><w:shd w:fill="auto" w:val="clear"/><w:tcMar><w:left w:w="103" w:type="dxa"/></w:tcMar></w:tcPr><w:p><w:pPr><w:pStyle w:val="Normal"/><w:spacing w:lineRule="auto" w:line="360" w:before="0" w:after="0"/><w:cnfStyle w:val="000000000000" w:firstRow="0" w:lastRow="0" w:firstColumn="0" w:lastColumn="0" w:oddVBand="0" w:evenVBand="0" w:oddHBand="0" w:evenHBand="0" w:firstRowFirstColumn="0" w:firstRowLastColumn="0" w:lastRowFirstColumn="0" w:lastRowLastColumn="0"/><w:rPr><w:rFonts w:ascii="Arial" w:hAnsi="Arial" w:cs="Arial"/><w:sz w:val="24"/><w:szCs w:val="24"/></w:rPr></w:pPr><w:r><w:rPr><w:rFonts w:cs="Arial" w:ascii="Arial" w:hAnsi="Arial"/><w:sz w:val="24"/><w:szCs w:val="24"/></w:rPr><w:t>15</w:t></w:r></w:p></w:tc></w:tr><w:tr><w:trPr></w:trPr><w:tc><w:tcPr><w:tcW w:w="2829" w:type="dxa"/><w:cnfStyle w:val="001000000000" w:firstRow="0" w:lastRow="0" w:firstColumn="1" w:lastColumn="0" w:oddVBand="0" w:evenVBand="0" w:oddHBand="0" w:evenHBand="0" w:firstRowFirstColumn="0" w:firstRowLastColumn="0" w:lastRowFirstColumn="0" w:lastRowLastColumn="0"/><w:tcBorders></w:tcBorders><w:shd w:fill="auto" w:val="clear"/><w:tcMar><w:left w:w="103" w:type="dxa"/></w:tcMar></w:tcPr><w:p><w:pPr><w:pStyle w:val="Normal"/><w:spacing w:lineRule="auto" w:line="360" w:before="0" w:after="0"/><w:rPr><w:rFonts w:ascii="Arial" w:hAnsi="Arial" w:cs="Arial"/><w:sz w:val="24"/><w:szCs w:val="24"/></w:rPr></w:pPr><w:r><w:rPr><w:rFonts w:cs="Arial" w:ascii="Arial" w:hAnsi="Arial"/><w:b/><w:bCs/><w:sz w:val="24"/><w:szCs w:val="24"/></w:rPr><w:t>ESL Customers</w:t></w:r></w:p></w:tc><w:tc><w:tcPr><w:tcW w:w="1843" w:type="dxa"/><w:tcBorders></w:tcBorders><w:shd w:fill="auto" w:val="clear"/><w:tcMar><w:left w:w="103" w:type="dxa"/></w:tcMar></w:tcPr><w:p><w:pPr><w:pStyle w:val="Normal"/><w:spacing w:lineRule="auto" w:line="360" w:before="0" w:after="0"/><w:cnfStyle w:val="000000000000" w:firstRow="0" w:lastRow="0" w:firstColumn="0" w:lastColumn="0" w:oddVBand="0" w:evenVBand="0" w:oddHBand="0" w:evenHBand="0" w:firstRowFirstColumn="0" w:firstRowLastColumn="0" w:lastRowFirstColumn="0" w:lastRowLastColumn="0"/><w:rPr><w:rFonts w:ascii="Arial" w:hAnsi="Arial" w:cs="Arial"/><w:sz w:val="24"/><w:szCs w:val="24"/></w:rPr></w:pPr><w:r><w:rPr><w:rFonts w:cs="Arial" w:ascii="Arial" w:hAnsi="Arial"/><w:sz w:val="24"/><w:szCs w:val="24"/></w:rPr><w:t>5</w:t></w:r></w:p></w:tc></w:tr><w:tr><w:trPr></w:trPr><w:tc><w:tcPr><w:tcW w:w="2829" w:type="dxa"/><w:cnfStyle w:val="001000000000" w:firstRow="0" w:lastRow="0" w:firstColumn="1" w:lastColumn="0" w:oddVBand="0" w:evenVBand="0" w:oddHBand="0" w:evenHBand="0" w:firstRowFirstColumn="0" w:firstRowLastColumn="0" w:lastRowFirstColumn="0" w:lastRowLastColumn="0"/><w:tcBorders></w:tcBorders><w:shd w:fill="auto" w:val="clear"/><w:tcMar><w:left w:w="103" w:type="dxa"/></w:tcMar></w:tcPr><w:p><w:pPr><w:pStyle w:val="Normal"/><w:spacing w:lineRule="auto" w:line="360" w:before="0" w:after="0"/><w:rPr><w:rFonts w:ascii="Arial" w:hAnsi="Arial" w:cs="Arial"/><w:sz w:val="24"/><w:szCs w:val="24"/></w:rPr></w:pPr><w:r><w:rPr><w:rFonts w:cs="Arial" w:ascii="Arial" w:hAnsi="Arial"/><w:b/><w:bCs/><w:sz w:val="24"/><w:szCs w:val="24"/></w:rPr><w:t>Disability</w:t></w:r></w:p></w:tc><w:tc><w:tcPr><w:tcW w:w="1843" w:type="dxa"/><w:tcBorders></w:tcBorders><w:shd w:fill="auto" w:val="clear"/><w:tcMar><w:left w:w="103" w:type="dxa"/></w:tcMar></w:tcPr><w:p><w:pPr><w:pStyle w:val="Normal"/><w:spacing w:lineRule="auto" w:line="360" w:before="0" w:after="0"/><w:cnfStyle w:val="000000000000" w:firstRow="0" w:lastRow="0" w:firstColumn="0" w:lastColumn="0" w:oddVBand="0" w:evenVBand="0" w:oddHBand="0" w:evenHBand="0" w:firstRowFirstColumn="0" w:firstRowLastColumn="0" w:lastRowFirstColumn="0" w:lastRowLastColumn="0"/><w:rPr><w:rFonts w:ascii="Arial" w:hAnsi="Arial" w:cs="Arial"/><w:sz w:val="24"/><w:szCs w:val="24"/></w:rPr></w:pPr><w:r><w:rPr><w:rFonts w:cs="Arial" w:ascii="Arial" w:hAnsi="Arial"/><w:sz w:val="24"/><w:szCs w:val="24"/></w:rPr><w:t>3</w:t></w:r></w:p></w:tc></w:tr><w:tr><w:trPr></w:trPr><w:tc><w:tcPr><w:tcW w:w="2829" w:type="dxa"/><w:cnfStyle w:val="001000000000" w:firstRow="0" w:lastRow="0" w:firstColumn="1" w:lastColumn="0" w:oddVBand="0" w:evenVBand="0" w:oddHBand="0" w:evenHBand="0" w:firstRowFirstColumn="0" w:firstRowLastColumn="0" w:lastRowFirstColumn="0" w:lastRowLastColumn="0"/><w:tcBorders></w:tcBorders><w:shd w:fill="auto" w:val="clear"/><w:tcMar><w:left w:w="103" w:type="dxa"/></w:tcMar></w:tcPr><w:p><w:pPr><w:pStyle w:val="Normal"/><w:spacing w:lineRule="auto" w:line="360" w:before="0" w:after="0"/><w:rPr><w:rFonts w:ascii="Arial" w:hAnsi="Arial" w:cs="Arial"/><w:sz w:val="24"/><w:szCs w:val="24"/></w:rPr></w:pPr><w:r><w:rPr><w:rFonts w:cs="Arial" w:ascii="Arial" w:hAnsi="Arial"/><w:b/><w:bCs/><w:sz w:val="24"/><w:szCs w:val="24"/></w:rPr><w:t>Visitors</w:t></w:r></w:p></w:tc><w:tc><w:tcPr><w:tcW w:w="1843" w:type="dxa"/><w:tcBorders></w:tcBorders><w:shd w:fill="auto" w:val="clear"/><w:tcMar><w:left w:w="103" w:type="dxa"/></w:tcMar></w:tcPr><w:p><w:pPr><w:pStyle w:val="Normal"/><w:spacing w:lineRule="auto" w:line="360" w:before="0" w:after="0"/><w:cnfStyle w:val="000000000000" w:firstRow="0" w:lastRow="0" w:firstColumn="0" w:lastColumn="0" w:oddVBand="0" w:evenVBand="0" w:oddHBand="0" w:evenHBand="0" w:firstRowFirstColumn="0" w:firstRowLastColumn="0" w:lastRowFirstColumn="0" w:lastRowLastColumn="0"/><w:rPr><w:rFonts w:ascii="Arial" w:hAnsi="Arial" w:cs="Arial"/><w:sz w:val="24"/><w:szCs w:val="24"/></w:rPr></w:pPr><w:r><w:rPr><w:rFonts w:cs="Arial" w:ascii="Arial" w:hAnsi="Arial"/><w:sz w:val="24"/><w:szCs w:val="24"/></w:rPr><w:t>15</w:t></w:r></w:p></w:tc></w:tr><w:tr><w:trPr></w:trPr><w:tc><w:tcPr><w:tcW w:w="2829" w:type="dxa"/><w:cnfStyle w:val="001000000000" w:firstRow="0" w:lastRow="0" w:firstColumn="1" w:lastColumn="0" w:oddVBand="0" w:evenVBand="0" w:oddHBand="0" w:evenHBand="0" w:firstRowFirstColumn="0" w:firstRowLastColumn="0" w:lastRowFirstColumn="0" w:lastRowLastColumn="0"/><w:tcBorders></w:tcBorders><w:shd w:fill="auto" w:val="clear"/><w:tcMar><w:left w:w="103" w:type="dxa"/></w:tcMar></w:tcPr><w:p><w:pPr><w:pStyle w:val="Normal"/><w:spacing w:lineRule="auto" w:line="360" w:before="0" w:after="0"/><w:rPr><w:rFonts w:ascii="Arial" w:hAnsi="Arial" w:cs="Arial"/><w:sz w:val="24"/><w:szCs w:val="24"/></w:rPr></w:pPr><w:r><w:rPr><w:rFonts w:cs="Arial" w:ascii="Arial" w:hAnsi="Arial"/><w:b/><w:bCs/><w:sz w:val="24"/><w:szCs w:val="24"/></w:rPr><w:t>Regulars</w:t></w:r></w:p></w:tc><w:tc><w:tcPr><w:tcW w:w="1843" w:type="dxa"/><w:tcBorders></w:tcBorders><w:shd w:fill="auto" w:val="clear"/><w:tcMar><w:left w:w="103" w:type="dxa"/></w:tcMar></w:tcPr><w:p><w:pPr><w:pStyle w:val="Normal"/><w:spacing w:lineRule="auto" w:line="360" w:before="0" w:after="0"/><w:cnfStyle w:val="000000000000" w:firstRow="0" w:lastRow="0" w:firstColumn="0" w:lastColumn="0" w:oddVBand="0" w:evenVBand="0" w:oddHBand="0" w:evenHBand="0" w:firstRowFirstColumn="0" w:firstRowLastColumn="0" w:lastRowFirstColumn="0" w:lastRowLastColumn="0"/><w:rPr><w:rFonts w:ascii="Arial" w:hAnsi="Arial" w:cs="Arial"/><w:sz w:val="24"/><w:szCs w:val="24"/></w:rPr></w:pPr><w:r><w:rPr><w:rFonts w:cs="Arial" w:ascii="Arial" w:hAnsi="Arial"/><w:sz w:val="24"/><w:szCs w:val="24"/></w:rPr><w:t>40</w:t></w:r></w:p></w:tc></w:tr><w:tr><w:trPr></w:trPr><w:tc><w:tcPr><w:tcW w:w="2829" w:type="dxa"/><w:cnfStyle w:val="001000000000" w:firstRow="0" w:lastRow="0" w:firstColumn="1" w:lastColumn="0" w:oddVBand="0" w:evenVBand="0" w:oddHBand="0" w:evenHBand="0" w:firstRowFirstColumn="0" w:firstRowLastColumn="0" w:lastRowFirstColumn="0" w:lastRowLastColumn="0"/><w:tcBorders></w:tcBorders><w:shd w:fill="auto" w:val="clear"/><w:tcMar><w:left w:w="103" w:type="dxa"/></w:tcMar></w:tcPr><w:p><w:pPr><w:pStyle w:val="Normal"/><w:spacing w:lineRule="auto" w:line="360" w:before="0" w:after="0"/><w:rPr><w:rFonts w:ascii="Arial" w:hAnsi="Arial" w:cs="Arial"/><w:sz w:val="24"/><w:szCs w:val="24"/></w:rPr></w:pPr><w:r><w:rPr><w:rFonts w:cs="Arial" w:ascii="Arial" w:hAnsi="Arial"/><w:b/><w:bCs/><w:sz w:val="24"/><w:szCs w:val="24"/></w:rPr><w:t>Students</w:t></w:r></w:p></w:tc><w:tc><w:tcPr><w:tcW w:w="1843" w:type="dxa"/><w:tcBorders></w:tcBorders><w:shd w:fill="auto" w:val="clear"/><w:tcMar><w:left w:w="103" w:type="dxa"/></w:tcMar></w:tcPr><w:p><w:pPr><w:pStyle w:val="Normal"/><w:spacing w:lineRule="auto" w:line="360" w:before="0" w:after="0"/><w:cnfStyle w:val="000000000000" w:firstRow="0" w:lastRow="0" w:firstColumn="0" w:lastColumn="0" w:oddVBand="0" w:evenVBand="0" w:oddHBand="0" w:evenHBand="0" w:firstRowFirstColumn="0" w:firstRowLastColumn="0" w:lastRowFirstColumn="0" w:lastRowLastColumn="0"/><w:rPr><w:rFonts w:ascii="Arial" w:hAnsi="Arial" w:cs="Arial"/><w:sz w:val="24"/><w:szCs w:val="24"/></w:rPr></w:pPr><w:r><w:rPr><w:rFonts w:cs="Arial" w:ascii="Arial" w:hAnsi="Arial"/><w:sz w:val="24"/><w:szCs w:val="24"/></w:rPr><w:t>2</w:t></w:r></w:p></w:tc></w:tr><w:tr><w:trPr></w:trPr><w:tc><w:tcPr><w:tcW w:w="2829" w:type="dxa"/><w:cnfStyle w:val="001000000000" w:firstRow="0" w:lastRow="0" w:firstColumn="1" w:lastColumn="0" w:oddVBand="0" w:evenVBand="0" w:oddHBand="0" w:evenHBand="0" w:firstRowFirstColumn="0" w:firstRowLastColumn="0" w:lastRowFirstColumn="0" w:lastRowLastColumn="0"/><w:tcBorders></w:tcBorders><w:shd w:fill="auto" w:val="clear"/><w:tcMar><w:left w:w="103" w:type="dxa"/></w:tcMar></w:tcPr><w:p><w:pPr><w:pStyle w:val="Normal"/><w:spacing w:lineRule="auto" w:line="360" w:before="0" w:after="0"/><w:rPr><w:rFonts w:ascii="Arial" w:hAnsi="Arial" w:cs="Arial"/><w:sz w:val="24"/><w:szCs w:val="24"/></w:rPr></w:pPr><w:r><w:rPr><w:rFonts w:cs="Arial" w:ascii="Arial" w:hAnsi="Arial"/><w:b/><w:bCs/><w:sz w:val="24"/><w:szCs w:val="24"/></w:rPr><w:t>External Clients</w:t></w:r></w:p></w:tc><w:tc><w:tcPr><w:tcW w:w="1843" w:type="dxa"/><w:tcBorders></w:tcBorders><w:shd w:fill="auto" w:val="clear"/><w:tcMar><w:left w:w="103" w:type="dxa"/></w:tcMar></w:tcPr><w:p><w:pPr><w:pStyle w:val="Normal"/><w:spacing w:lineRule="auto" w:line="360" w:before="0" w:after="0"/><w:cnfStyle w:val="000000000000" w:firstRow="0" w:lastRow="0" w:firstColumn="0" w:lastColumn="0" w:oddVBand="0" w:evenVBand="0" w:oddHBand="0" w:evenHBand="0" w:firstRowFirstColumn="0" w:firstRowLastColumn="0" w:lastRowFirstColumn="0" w:lastRowLastColumn="0"/><w:rPr><w:rFonts w:ascii="Arial" w:hAnsi="Arial" w:cs="Arial"/><w:sz w:val="24"/><w:szCs w:val="24"/></w:rPr></w:pPr><w:r><w:rPr><w:rFonts w:cs="Arial" w:ascii="Arial" w:hAnsi="Arial"/><w:sz w:val="24"/><w:szCs w:val="24"/></w:rPr><w:t>10</w:t></w:r></w:p></w:tc></w:tr><w:tr><w:trPr></w:trPr><w:tc><w:tcPr><w:tcW w:w="2829" w:type="dxa"/><w:cnfStyle w:val="001000000000" w:firstRow="0" w:lastRow="0" w:firstColumn="1" w:lastColumn="0" w:oddVBand="0" w:evenVBand="0" w:oddHBand="0" w:evenHBand="0" w:firstRowFirstColumn="0" w:firstRowLastColumn="0" w:lastRowFirstColumn="0" w:lastRowLastColumn="0"/><w:tcBorders></w:tcBorders><w:shd w:fill="auto" w:val="clear"/><w:tcMar><w:left w:w="103" w:type="dxa"/></w:tcMar></w:tcPr><w:p><w:pPr><w:pStyle w:val="Normal"/><w:spacing w:lineRule="auto" w:line="360" w:before="0" w:after="0"/><w:rPr><w:rFonts w:ascii="Arial" w:hAnsi="Arial" w:cs="Arial"/><w:sz w:val="24"/><w:szCs w:val="24"/></w:rPr></w:pPr><w:r><w:rPr><w:rFonts w:cs="Arial" w:ascii="Arial" w:hAnsi="Arial"/><w:b/><w:bCs/><w:sz w:val="24"/><w:szCs w:val="24"/></w:rPr><w:t>Internal Clients</w:t></w:r></w:p></w:tc><w:tc><w:tcPr><w:tcW w:w="1843" w:type="dxa"/><w:tcBorders></w:tcBorders><w:shd w:fill="auto" w:val="clear"/><w:tcMar><w:left w:w="103" w:type="dxa"/></w:tcMar></w:tcPr><w:p><w:pPr><w:pStyle w:val="Normal"/><w:spacing w:lineRule="auto" w:line="360" w:before="0" w:after="0"/><w:cnfStyle w:val="000000000000" w:firstRow="0" w:lastRow="0" w:firstColumn="0" w:lastColumn="0" w:oddVBand="0" w:evenVBand="0" w:oddHBand="0" w:evenHBand="0" w:firstRowFirstColumn="0" w:firstRowLastColumn="0" w:lastRowFirstColumn="0" w:lastRowLastColumn="0"/><w:rPr><w:rFonts w:ascii="Arial" w:hAnsi="Arial" w:cs="Arial"/><w:sz w:val="24"/><w:szCs w:val="24"/></w:rPr></w:pPr><w:r><w:rPr><w:rFonts w:cs="Arial" w:ascii="Arial" w:hAnsi="Arial"/><w:sz w:val="24"/><w:szCs w:val="24"/></w:rPr><w:t>10</w:t></w:r></w:p></w:tc></w:tr></w:tbl><w:p><w:pPr><w:pStyle w:val="Normal"/><w:spacing w:lineRule="auto" w:line="360"/><w:jc w:val="center"/><w:rPr><w:rFonts w:ascii="Arial" w:hAnsi="Arial" w:cs="Arial"/><w:i/><w:i/><w:iCs/><w:sz w:val="20"/><w:szCs w:val="20"/></w:rPr></w:pPr><w:r><w:rPr><w:rFonts w:cs="Arial" w:ascii="Arial" w:hAnsi="Arial"/><w:i/><w:iCs/><w:sz w:val="20"/><w:szCs w:val="20"/></w:rPr><w:t xml:space="preserve">Table 1. </w:t></w:r></w:p><w:p><w:pPr><w:pStyle w:val="Normal"/><w:spacing w:lineRule="auto" w:line="360"/><w:ind w:firstLine="720"/><w:rPr></w:rPr></w:pPr><w:r><w:rPr><w:rFonts w:cs="Arial" w:ascii="Arial" w:hAnsi="Arial"/><w:sz w:val="24"/><w:szCs w:val="24"/></w:rPr><w:t>This breakdown was determined using a snapshot survey, over a two week period, and annual local government authority census data, giving a more detailed breakdown. The groups with lowest representations are students, ESL customers, and those with a disability. While the highest representations are visitors, new residents, and regular clients.</w:t></w:r></w:p><w:p><w:pPr><w:pStyle w:val="Normal"/><w:spacing w:lineRule="auto" w:line="360"/><w:ind w:firstLine="720"/><w:rPr></w:rPr></w:pPr><w:r><w:rPr><w:rFonts w:cs="Arial" w:ascii="Arial" w:hAnsi="Arial"/><w:sz w:val="24"/><w:szCs w:val="24"/></w:rPr><w:t xml:space="preserve">One flaw that can be seen here is the lack of clarity as to who ‘regular’ clients are. This is the single largest group of Metro-Info customers and yet there is no definition provided of what constitutes a regular or long-term customer. They could be singles, couples, older or younger. Further clarity here would have been very useful. </w:t></w:r></w:p><w:p><w:pPr><w:pStyle w:val="Normal"/><w:spacing w:lineRule="auto" w:line="360"/><w:ind w:firstLine="720"/><w:rPr></w:rPr></w:pPr><w:r><w:rPr><w:rFonts w:cs="Arial" w:ascii="Arial" w:hAnsi="Arial"/><w:sz w:val="24"/><w:szCs w:val="24"/></w:rPr><w:t xml:space="preserve">Metro-Info’s target market remain the three most numerously represented groups; visitors, new residents, and regular customers, at 70% in total. One of Metro-Info’s most important tasks will be to convert the visitors and new residents into regular customers. Two pathways to producing this desired result will be enhanced promotion, not necessarily requiring greater expenditure, and the improvement of online services and introduction of </w:t></w:r><w:r><w:rPr><w:rFonts w:cs="Arial" w:ascii="Arial" w:hAnsi="Arial"/><w:sz w:val="24"/><w:szCs w:val="24"/></w:rPr><w:t xml:space="preserve">a mobile </w:t></w:r><w:r><w:rPr><w:rFonts w:cs="Arial" w:ascii="Arial" w:hAnsi="Arial"/><w:sz w:val="24"/><w:szCs w:val="24"/></w:rPr><w:t xml:space="preserve">application. </w:t></w:r></w:p><w:p><w:pPr><w:pStyle w:val="Normal"/><w:spacing w:lineRule="auto" w:line="360"/><w:ind w:firstLine="720"/><w:rPr><w:rFonts w:ascii="Arial" w:hAnsi="Arial" w:cs="Arial"/><w:sz w:val="24"/><w:szCs w:val="24"/></w:rPr></w:pPr><w:r><w:rPr><w:rFonts w:cs="Arial" w:ascii="Arial" w:hAnsi="Arial"/><w:sz w:val="24"/><w:szCs w:val="24"/></w:rPr></w:r></w:p><w:p><w:pPr><w:pStyle w:val="Normal"/><w:spacing w:lineRule="auto" w:line="360"/><w:rPr><w:rFonts w:ascii="Arial" w:hAnsi="Arial" w:cs="Arial"/><w:sz w:val="24"/><w:szCs w:val="24"/></w:rPr></w:pPr><w:r><w:rPr><w:rFonts w:cs="Arial" w:ascii="Arial" w:hAnsi="Arial"/><w:sz w:val="24"/><w:szCs w:val="24"/></w:rPr><w:tab/><w:t>Metro-Info Clients can be grouped into the following Categories:</w:t></w:r></w:p><w:p><w:pPr><w:pStyle w:val="Normal"/><w:spacing w:lineRule="auto" w:line="360"/><w:rPr></w:rPr></w:pPr><w:r><w:rPr><w:rFonts w:cs="Arial" w:ascii="Arial" w:hAnsi="Arial"/><w:sz w:val="24"/><w:szCs w:val="24"/></w:rPr><w:tab/><w:t>Affluent retirees, who are financially comfortable, technologically capable, have time for leisure, are lifelong learners, and are interested in travel and volunteering, and may need information on legal issues and local cultural groups.</w:t></w:r></w:p><w:p><w:pPr><w:pStyle w:val="Normal"/><w:spacing w:lineRule="auto" w:line="360"/><w:rPr></w:rPr></w:pPr><w:r><w:rPr><w:rFonts w:cs="Arial" w:ascii="Arial" w:hAnsi="Arial"/><w:sz w:val="24"/><w:szCs w:val="24"/></w:rPr><w:tab/><w:t>Couples and singles, who are well employed, poor on time, digital natives, and interested in travel, leisure and fitness, and may nee information on venue hire.</w:t></w:r></w:p><w:p><w:pPr><w:pStyle w:val="Normal"/><w:spacing w:lineRule="auto" w:line="360"/><w:rPr></w:rPr></w:pPr><w:r><w:rPr><w:rFonts w:cs="Arial" w:ascii="Arial" w:hAnsi="Arial"/><w:sz w:val="24"/><w:szCs w:val="24"/></w:rPr><w:tab/><w:t>Families, with one or both heads employed, with children of mixed ages, who are time poor, interested in sports and cultural family events.</w:t></w:r></w:p><w:p><w:pPr><w:pStyle w:val="Normal"/><w:spacing w:lineRule="auto" w:line="360"/><w:rPr></w:rPr></w:pPr><w:r><w:rPr><w:rFonts w:cs="Arial" w:ascii="Arial" w:hAnsi="Arial"/><w:sz w:val="24"/><w:szCs w:val="24"/></w:rPr><w:tab/><w:t xml:space="preserve">New residents, being a mix of ages, occupations and home situations, who need information to help settle into the community, community organisations, clubs and groups, and are interested in services for children. </w:t></w:r></w:p><w:p><w:pPr><w:pStyle w:val="Normal"/><w:spacing w:lineRule="auto" w:line="360"/><w:rPr></w:rPr></w:pPr><w:r><w:rPr><w:rFonts w:cs="Arial" w:ascii="Arial" w:hAnsi="Arial"/><w:sz w:val="24"/><w:szCs w:val="24"/></w:rPr><w:tab/><w:t>For those for whom English is a second language, and those with a disability, employment status varies, as does the home situation, they may need help with technology and equity, crisis and welfare services, community organisations and migrant services.</w:t></w:r></w:p><w:p><w:pPr><w:pStyle w:val="Normal"/><w:spacing w:lineRule="auto" w:line="360"/><w:rPr></w:rPr></w:pPr><w:r><w:rPr><w:rFonts w:cs="Arial" w:ascii="Arial" w:hAnsi="Arial"/><w:sz w:val="24"/><w:szCs w:val="24"/></w:rPr><w:tab/><w:t>Visitors to the area are typically comfortable with technology, particularly its use for travel and leisure, they may need information on local tourism and events, and their ages vary.</w:t></w:r></w:p><w:p><w:pPr><w:pStyle w:val="Normal"/><w:spacing w:lineRule="auto" w:line="360"/><w:rPr><w:rFonts w:ascii="Arial" w:hAnsi="Arial" w:cs="Arial"/><w:sz w:val="24"/><w:szCs w:val="24"/></w:rPr></w:pPr><w:r><w:rPr><w:rFonts w:cs="Arial" w:ascii="Arial" w:hAnsi="Arial"/><w:sz w:val="24"/><w:szCs w:val="24"/></w:rPr><w:tab/><w:t xml:space="preserve">There are two groups that have no identified users, of the Metro-Info service, children and teenagers, those under 15 years of age, and the elderly, those above 80 years of age. These two groups are not part of the target market for Metro-Info. This is as a consequence of these two groups obtaining their needed assistance from their family, who will have been included in the other age groups. Children and teens have parents and other adults to assist them with information they may need, and the elderly most often have children, carers or are in an aged care home where they receive the assistance they need. As such these groups have no representation and will not be the focus of future efforts. </w:t></w:r></w:p><w:p><w:pPr><w:pStyle w:val="Normal"/><w:spacing w:lineRule="auto" w:line="360"/><w:rPr><w:rFonts w:ascii="Arial" w:hAnsi="Arial" w:cs="Arial"/><w:sz w:val="24"/><w:szCs w:val="24"/></w:rPr></w:pPr><w:r><w:rPr><w:rFonts w:cs="Arial" w:ascii="Arial" w:hAnsi="Arial"/><w:sz w:val="24"/><w:szCs w:val="24"/></w:rPr><w:tab/><w:t>The below pie chart is a visual representation of Metro-Info users by age group.</w:t></w:r></w:p><w:p><w:pPr><w:pStyle w:val="Normal"/><w:spacing w:lineRule="auto" w:line="360"/><w:rPr><w:rFonts w:ascii="Arial" w:hAnsi="Arial" w:cs="Arial"/><w:sz w:val="24"/><w:szCs w:val="24"/></w:rPr></w:pPr><w:r><w:rPr></w:rPr><w:drawing><wp:inline distT="0" distB="0" distL="0" distR="0"><wp:extent cx="5708015" cy="3199130"/><wp:effectExtent l="0" t="0" r="0" b="0"/><wp:docPr id="6" name="Object3"/><wp:cNvGraphicFramePr/><a:graphic xmlns:a="http://schemas.openxmlformats.org/drawingml/2006/main"><a:graphicData uri="http://schemas.openxmlformats.org/drawingml/2006/chart"><c:chart xmlns:c="http://schemas.openxmlformats.org/drawingml/2006/chart" xmlns:r="http://schemas.openxmlformats.org/officeDocument/2006/relationships" r:id="rId4"/></a:graphicData></a:graphic></wp:inline></w:drawing></w:r></w:p><w:p><w:pPr><w:pStyle w:val="Normal"/><w:spacing w:lineRule="auto" w:line="360"/><w:jc w:val="center"/><w:rPr><w:i/><w:i/><w:iCs/><w:sz w:val="20"/><w:szCs w:val="20"/></w:rPr></w:pPr><w:r><w:rPr><w:rFonts w:cs="Arial" w:ascii="Arial" w:hAnsi="Arial"/><w:i/><w:iCs/><w:sz w:val="20"/><w:szCs w:val="20"/></w:rPr><w:t xml:space="preserve">Figure 1. </w:t></w:r></w:p><w:p><w:pPr><w:pStyle w:val="Normal"/><w:spacing w:lineRule="auto" w:line="360"/><w:rPr></w:rPr></w:pPr><w:r><w:rPr><w:rFonts w:cs="Arial" w:ascii="Arial" w:hAnsi="Arial"/><w:sz w:val="24"/><w:szCs w:val="24"/></w:rPr><w:tab/><w:t xml:space="preserve">The above chart shows very clearly that the age group distribution of Metro-Info users. We see that the greatest proportion of users are those in their 50’s, followed by those in their 40’s and 30’s respectively. We also see that the lowest numbers are in the two age groups at either end, those in their teens and the elderly. </w:t></w:r></w:p><w:p><w:pPr><w:pStyle w:val="Normal"/><w:spacing w:lineRule="auto" w:line="360"/><w:rPr></w:rPr></w:pPr><w:r><w:rPr><w:rFonts w:cs="Arial" w:ascii="Arial" w:hAnsi="Arial"/><w:sz w:val="24"/><w:szCs w:val="24"/></w:rPr><w:tab/><w:t xml:space="preserve">The services that are required from Metro-Info by the community remain the same as those that are currently being provided. The changes that  need to be made are better advertising and education as to what information and services Metro-Info is here to provide, and that it provides these both to local residents and residents of other communities, and visitors alike. Planning for Metro-Info’s future needs to take into account not only those current customers but also potential future customers and how to attract and retain those also. </w:t></w:r><w:r><w:rPr><w:rFonts w:cs="Arial" w:ascii="Arial" w:hAnsi="Arial"/><w:sz w:val="24"/><w:szCs w:val="24"/></w:rPr><w:t xml:space="preserve"> </w:t></w:r></w:p><w:p><w:pPr><w:pStyle w:val="Normal"/><w:spacing w:lineRule="auto" w:line="360"/><w:rPr><w:rFonts w:ascii="Arial" w:hAnsi="Arial" w:cs="Arial"/><w:sz w:val="24"/><w:szCs w:val="24"/></w:rPr></w:pPr><w:r><w:rPr></w:rPr></w:r></w:p><w:p><w:pPr><w:pStyle w:val="Normal"/><w:spacing w:lineRule="auto" w:line="360"/><w:rPr><w:rFonts w:ascii="Arial" w:hAnsi="Arial" w:cs="Arial"/><w:sz w:val="24"/><w:szCs w:val="24"/></w:rPr></w:pPr><w:r><w:rPr><w:rFonts w:cs="Arial" w:ascii="Arial" w:hAnsi="Arial"/><w:sz w:val="24"/><w:szCs w:val="24"/></w:rPr></w:r></w:p><w:p><w:pPr><w:pStyle w:val="Normal"/><w:spacing w:lineRule="auto" w:line="360"/><w:rPr><w:rFonts w:ascii="Arial" w:hAnsi="Arial" w:cs="Arial"/><w:sz w:val="24"/><w:szCs w:val="24"/></w:rPr></w:pPr><w:r><w:rPr><w:rFonts w:cs="Arial" w:ascii="Arial" w:hAnsi="Arial"/><w:sz w:val="24"/><w:szCs w:val="24"/></w:rPr></w:r></w:p><w:p><w:pPr><w:pStyle w:val="Heading1"/><w:spacing w:lineRule="auto" w:line="360"/><w:rPr><w:rFonts w:ascii="Arial" w:hAnsi="Arial" w:cs="Arial"/><w:sz w:val="24"/><w:szCs w:val="24"/></w:rPr></w:pPr><w:bookmarkStart w:id="4" w:name="_Toc476131831"/><w:bookmarkEnd w:id="4"/><w:r><w:rPr><w:rFonts w:cs="Arial" w:ascii="Arial" w:hAnsi="Arial"/><w:sz w:val="24"/><w:szCs w:val="24"/></w:rPr><w:t>4 Customer Feedback and Gap Analysis</w:t></w:r></w:p><w:p><w:pPr><w:pStyle w:val="Normal"/><w:spacing w:lineRule="auto" w:line="360"/><w:rPr><w:rFonts w:ascii="Arial" w:hAnsi="Arial" w:cs="Arial"/><w:sz w:val="24"/><w:szCs w:val="24"/></w:rPr></w:pPr><w:r><w:rPr><w:rFonts w:cs="Arial" w:ascii="Arial" w:hAnsi="Arial"/><w:sz w:val="24"/><w:szCs w:val="24"/></w:rPr></w:r></w:p><w:p><w:pPr><w:pStyle w:val="Normal"/><w:spacing w:lineRule="auto" w:line="360"/><w:rPr><w:rFonts w:ascii="Arial" w:hAnsi="Arial" w:cs="Arial"/><w:sz w:val="24"/><w:szCs w:val="24"/></w:rPr></w:pPr><w:r><w:rPr><w:rFonts w:cs="Arial" w:ascii="Arial" w:hAnsi="Arial"/><w:sz w:val="24"/><w:szCs w:val="24"/></w:rPr><w:tab/><w:t xml:space="preserve">The data used for this report was gathered from four sources; a snapshot survey of Metro-Info customers over two weeks, a recent library survey </w:t></w:r><w:r><w:rPr><w:rFonts w:cs="Arial" w:ascii="Arial" w:hAnsi="Arial"/><w:sz w:val="24"/><w:szCs w:val="24"/></w:rPr><w:t>not including</w:t></w:r><w:r><w:rPr><w:rFonts w:cs="Arial" w:ascii="Arial" w:hAnsi="Arial"/><w:sz w:val="24"/><w:szCs w:val="24"/></w:rPr><w:t xml:space="preserve"> specific questions about the use of Metro-Info, an ongoing annual statistical compilation of online and desk enquiries for library services including Metro-Info, and  the customer feedback and complaints received by the City of Metropolis. </w:t></w:r></w:p><w:p><w:pPr><w:pStyle w:val="Normal"/><w:spacing w:lineRule="auto" w:line="360"/><w:rPr><w:rFonts w:ascii="Arial" w:hAnsi="Arial" w:cs="Arial"/><w:sz w:val="24"/><w:szCs w:val="24"/></w:rPr></w:pPr><w:r><w:rPr><w:rFonts w:cs="Arial" w:ascii="Arial" w:hAnsi="Arial"/><w:sz w:val="24"/><w:szCs w:val="24"/></w:rPr><w:tab/><w:t xml:space="preserve">The first shortfall is the duration of the snapshot survey. The survey duration of two weeks is too short to yield reliable and truly useful data. The preferable duration for such a survey is three to six months. </w:t></w:r><w:r><w:rPr><w:rFonts w:cs="Arial" w:ascii="Arial" w:hAnsi="Arial"/><w:sz w:val="24"/><w:szCs w:val="24"/></w:rPr><w:t xml:space="preserve">The survey should include all Metropolis residents, rather than just current Metro-Info users. </w:t></w:r></w:p><w:p><w:pPr><w:pStyle w:val="Normal"/><w:spacing w:lineRule="auto" w:line="360"/><w:rPr><w:rFonts w:ascii="Arial" w:hAnsi="Arial" w:cs="Arial"/><w:sz w:val="24"/><w:szCs w:val="24"/></w:rPr></w:pPr><w:r><w:rPr><w:rFonts w:cs="Arial" w:ascii="Arial" w:hAnsi="Arial"/><w:sz w:val="24"/><w:szCs w:val="24"/></w:rPr><w:tab/><w:t xml:space="preserve">Another path to collecting more data is to conclude each user interaction with Metro-Info with a very brief survey. This can be done in person, over the phone, and via email or </w:t></w:r><w:r><w:rPr><w:rFonts w:cs="Arial" w:ascii="Arial" w:hAnsi="Arial"/><w:sz w:val="24"/><w:szCs w:val="24"/></w:rPr><w:t>mobile</w:t></w:r><w:r><w:rPr><w:rFonts w:cs="Arial" w:ascii="Arial" w:hAnsi="Arial"/><w:sz w:val="24"/><w:szCs w:val="24"/></w:rPr><w:t xml:space="preserve"> application. It need not be complex, the standard questions of ‘How satisfied are you with the service you received?’ and ‘Would you recommend this service to others?’,  including a numbered scale as a means to answer, are perfectly suitable. Many other service providers include these kinds of feedback with every interaction, with one example being ISP iiNet. </w:t></w:r></w:p><w:p><w:pPr><w:pStyle w:val="Normal"/><w:spacing w:lineRule="auto" w:line="360"/><w:rPr></w:rPr></w:pPr><w:r><w:rPr><w:rFonts w:cs="Arial" w:ascii="Arial" w:hAnsi="Arial"/><w:sz w:val="24"/><w:szCs w:val="24"/></w:rPr><w:tab/><w:t xml:space="preserve">The second shortfall is that a mismatch exists between the services that Metro-Info currently provides for students, ESL customers, and those with a disability. Students are not part of Metro-Info’s target market, and are likely to be fulfilling their information needs via their school and parents. ESL customers could be better serviced through the provision of translation services, and better advertising of Metro-Info’s services to the cultural groups within the community. Those with a disability could benefit from audio services provided on the website, and clearer instructions on how to enlarge text on a computer screen. Metro-Info staff also need cultural sensitivity training and how to help those who are disabled in different ways included in their training. </w:t></w:r></w:p><w:p><w:pPr><w:pStyle w:val="Normal"/><w:spacing w:lineRule="auto" w:line="360"/><w:rPr></w:rPr></w:pPr><w:r><w:rPr><w:rFonts w:cs="Arial" w:ascii="Arial" w:hAnsi="Arial"/><w:sz w:val="24"/><w:szCs w:val="24"/></w:rPr><w:tab/><w:t xml:space="preserve">There were 21 complaints recorded </w:t></w:r><w:r><w:rPr><w:rFonts w:cs="Arial" w:ascii="Arial" w:hAnsi="Arial"/><w:sz w:val="24"/><w:szCs w:val="24"/></w:rPr><w:t xml:space="preserve">in the period from July to December 2016. Of these, 14  were easily resolved communication issues due to a changed forwarding address not reflected on the website.  Four complaints were received that a new community group was not visible in the database, also easily resolved, two complaints that staff at the Metro-Info desk were not able to satisfy a customer enquiry, to be addressed through improved training and support for staff, and one complaint of an online information request being fulfilled two weeks later, this does not meet the service standards of Metro-Info and will be ameliorated through improved training and support provided to staff. There was also a single request for information on current businesses in the area, which is not currently included in the Metro-Info service, and 25 instances of positive feedback on the service and efforts of staff at Metro-Info. </w:t></w:r></w:p><w:p><w:pPr><w:pStyle w:val="Normal"/><w:spacing w:lineRule="auto" w:line="360"/><w:rPr></w:rPr></w:pPr><w:r><w:rPr><w:rFonts w:cs="Arial" w:ascii="Arial" w:hAnsi="Arial"/><w:sz w:val="24"/><w:szCs w:val="24"/></w:rPr><w:tab/><w:t xml:space="preserve">The graph below shows the numbers of Metro-Info enquiries compared to those for local history, and general library enquiries. </w:t></w:r></w:p><w:p><w:pPr><w:pStyle w:val="Normal"/><w:spacing w:lineRule="auto" w:line="360"/><w:rPr></w:rPr></w:pPr><w:r><w:rPr><w:rFonts w:cs="Arial" w:ascii="Arial" w:hAnsi="Arial"/><w:sz w:val="24"/><w:szCs w:val="24"/></w:rPr><w:drawing><wp:inline distT="0" distB="0" distL="0" distR="0"><wp:extent cx="5614035" cy="2851150"/><wp:effectExtent l="0" t="0" r="0" b="0"/><wp:docPr id="7" name="Object1"/><wp:cNvGraphicFramePr/><a:graphic xmlns:a="http://schemas.openxmlformats.org/drawingml/2006/main"><a:graphicData uri="http://schemas.openxmlformats.org/drawingml/2006/chart"><c:chart xmlns:c="http://schemas.openxmlformats.org/drawingml/2006/chart" xmlns:r="http://schemas.openxmlformats.org/officeDocument/2006/relationships" r:id="rId5"/></a:graphicData></a:graphic></wp:inline></w:drawing></w:r></w:p><w:p><w:pPr><w:pStyle w:val="Normal"/><w:spacing w:lineRule="auto" w:line="360"/><w:jc w:val="center"/><w:rPr><w:rFonts w:ascii="Arial" w:hAnsi="Arial" w:cs="Arial"/><w:sz w:val="24"/><w:szCs w:val="24"/></w:rPr></w:pPr><w:r><w:rPr><w:rFonts w:cs="Arial" w:ascii="Arial" w:hAnsi="Arial"/><w:i/><w:iCs/><w:sz w:val="20"/><w:szCs w:val="20"/></w:rPr><w:t xml:space="preserve">Figure 2. </w:t></w:r></w:p><w:p><w:pPr><w:pStyle w:val="Normal"/><w:spacing w:lineRule="auto" w:line="360"/><w:rPr><w:rFonts w:ascii="Arial" w:hAnsi="Arial" w:cs="Arial"/><w:sz w:val="24"/><w:szCs w:val="24"/></w:rPr></w:pPr><w:r><w:rPr><w:rFonts w:cs="Arial" w:ascii="Arial" w:hAnsi="Arial"/><w:sz w:val="24"/><w:szCs w:val="24"/></w:rPr><w:tab/><w:t xml:space="preserve">The graph above illustrates that Metro-Info  provides a valuable service, constituting a large proportion of enquiries at the front desk, and is worthy of the support needed to have it continue and improve in the future.  The evident trend shows that in-person Metro-Info enquiries are slowly decreasing as more users are switching over to the Metro-Info online service, as shown in the following figure below. Regardless of this slow decline the figures show that the in-person service is still relevant. </w:t></w:r></w:p><w:p><w:pPr><w:pStyle w:val="Normal"/><w:spacing w:lineRule="auto" w:line="360"/><w:rPr><w:rFonts w:ascii="Arial" w:hAnsi="Arial" w:cs="Arial"/><w:sz w:val="24"/><w:szCs w:val="24"/></w:rPr></w:pPr><w:r><w:rPr><w:rFonts w:cs="Arial" w:ascii="Arial" w:hAnsi="Arial"/><w:sz w:val="24"/><w:szCs w:val="24"/></w:rPr><w:drawing><wp:inline distT="0" distB="0" distL="0" distR="0"><wp:extent cx="5718175" cy="3207385"/><wp:effectExtent l="0" t="0" r="0" b="0"/><wp:docPr id="8" name="Object2"/><wp:cNvGraphicFramePr/><a:graphic xmlns:a="http://schemas.openxmlformats.org/drawingml/2006/main"><a:graphicData uri="http://schemas.openxmlformats.org/drawingml/2006/chart"><c:chart xmlns:c="http://schemas.openxmlformats.org/drawingml/2006/chart" xmlns:r="http://schemas.openxmlformats.org/officeDocument/2006/relationships" r:id="rId6"/></a:graphicData></a:graphic></wp:inline></w:drawing></w:r></w:p><w:p><w:pPr><w:pStyle w:val="Normal"/><w:spacing w:lineRule="auto" w:line="360"/><w:jc w:val="center"/><w:rPr><w:rFonts w:ascii="Arial" w:hAnsi="Arial" w:cs="Arial"/><w:i/><w:i/><w:iCs/><w:sz w:val="20"/><w:szCs w:val="20"/></w:rPr></w:pPr><w:r><w:rPr><w:rFonts w:cs="Arial" w:ascii="Arial" w:hAnsi="Arial"/><w:i/><w:iCs/><w:sz w:val="20"/><w:szCs w:val="20"/></w:rPr><w:t xml:space="preserve">Figure 3. </w:t></w:r></w:p><w:p><w:pPr><w:pStyle w:val="Normal"/><w:spacing w:lineRule="auto" w:line="360"/><w:rPr><w:rFonts w:ascii="Arial" w:hAnsi="Arial" w:cs="Arial"/><w:sz w:val="24"/><w:szCs w:val="24"/></w:rPr></w:pPr><w:r><w:rPr><w:rFonts w:cs="Arial" w:ascii="Arial" w:hAnsi="Arial"/><w:sz w:val="24"/><w:szCs w:val="24"/></w:rPr><w:tab/><w:t>The above graph shows a strong trend toward increased use of Metrp-Info’s online services. This can be attributed to an increase in technologically capable or digital native residents in the community, increasing demand on online services. The snapshot survey supports this conclusion, showing that 85% of Metro-Info enquiries are now through online searches, with the other 15% being comprised of email enquiries at 6%, in-person enquiries at 5%, and phone call enquiries at 4%. Combined these figures show the increasing importance of improving Metro-Info’s online services.</w:t></w:r></w:p><w:p><w:pPr><w:pStyle w:val="Normal"/><w:spacing w:lineRule="auto" w:line="360"/><w:rPr><w:rFonts w:ascii="Arial" w:hAnsi="Arial" w:cs="Arial"/><w:sz w:val="24"/><w:szCs w:val="24"/></w:rPr></w:pPr><w:r><w:rPr><w:rFonts w:cs="Arial" w:ascii="Arial" w:hAnsi="Arial"/><w:sz w:val="24"/><w:szCs w:val="24"/></w:rPr></w:r></w:p><w:p><w:pPr><w:pStyle w:val="Heading1"/><w:spacing w:lineRule="auto" w:line="360"/><w:rPr><w:rFonts w:ascii="Arial" w:hAnsi="Arial" w:cs="Arial"/><w:sz w:val="24"/><w:szCs w:val="24"/></w:rPr></w:pPr><w:bookmarkStart w:id="5" w:name="_Toc476131832"/><w:bookmarkEnd w:id="5"/><w:r><w:rPr><w:rFonts w:cs="Arial" w:ascii="Arial" w:hAnsi="Arial"/><w:sz w:val="24"/><w:szCs w:val="24"/></w:rPr><w:t>5 Strategies for Improvement</w:t></w:r></w:p><w:p><w:pPr><w:pStyle w:val="Normal"/><w:spacing w:lineRule="auto" w:line="360"/><w:rPr><w:rFonts w:ascii="Arial" w:hAnsi="Arial" w:cs="Arial"/><w:sz w:val="24"/><w:szCs w:val="24"/></w:rPr></w:pPr><w:r><w:rPr><w:rFonts w:cs="Arial" w:ascii="Arial" w:hAnsi="Arial"/><w:sz w:val="24"/><w:szCs w:val="24"/></w:rPr></w:r></w:p><w:p><w:pPr><w:pStyle w:val="Normal"/><w:spacing w:lineRule="auto" w:line="360"/><w:rPr><w:rFonts w:ascii="Arial" w:hAnsi="Arial" w:cs="Arial"/><w:sz w:val="24"/><w:szCs w:val="24"/></w:rPr></w:pPr><w:r><w:rPr><w:rFonts w:cs="Arial" w:ascii="Arial" w:hAnsi="Arial"/><w:sz w:val="24"/><w:szCs w:val="24"/></w:rPr></w:r></w:p><w:p><w:pPr><w:pStyle w:val="Normal"/><w:spacing w:lineRule="auto" w:line="360"/><w:rPr><w:rFonts w:ascii="Arial" w:hAnsi="Arial" w:cs="Arial"/><w:sz w:val="24"/><w:szCs w:val="24"/></w:rPr></w:pPr><w:r><w:rPr><w:rFonts w:cs="Arial" w:ascii="Arial" w:hAnsi="Arial"/><w:sz w:val="24"/><w:szCs w:val="24"/></w:rPr></w:r></w:p><w:p><w:pPr><w:pStyle w:val="Normal"/><w:spacing w:lineRule="auto" w:line="360"/><w:rPr><w:rFonts w:ascii="Arial" w:hAnsi="Arial" w:cs="Arial"/><w:sz w:val="24"/><w:szCs w:val="24"/></w:rPr></w:pPr><w:r><w:rPr><w:rFonts w:cs="Arial" w:ascii="Arial" w:hAnsi="Arial"/><w:sz w:val="24"/><w:szCs w:val="24"/></w:rPr></w:r></w:p><w:p><w:pPr><w:pStyle w:val="Normal"/><w:spacing w:lineRule="auto" w:line="360"/><w:rPr><w:rFonts w:ascii="Arial" w:hAnsi="Arial" w:cs="Arial"/><w:sz w:val="24"/><w:szCs w:val="24"/></w:rPr></w:pPr><w:r><w:rPr><w:rFonts w:cs="Arial" w:ascii="Arial" w:hAnsi="Arial"/><w:sz w:val="24"/><w:szCs w:val="24"/></w:rPr></w:r></w:p><w:p><w:pPr><w:pStyle w:val="Normal"/><w:spacing w:lineRule="auto" w:line="360"/><w:rPr><w:rFonts w:ascii="Arial" w:hAnsi="Arial" w:cs="Arial"/><w:sz w:val="24"/><w:szCs w:val="24"/></w:rPr></w:pPr><w:r><w:rPr><w:rFonts w:cs="Arial" w:ascii="Arial" w:hAnsi="Arial"/><w:sz w:val="24"/><w:szCs w:val="24"/></w:rPr></w:r></w:p><w:tbl><w:tblPr><w:tblStyle w:val="TableGrid"/><w:tblW w:w="9242" w:type="dxa"/><w:jc w:val="left"/><w:tblInd w:w="0" w:type="dxa"/><w:tblCellMar><w:top w:w="0" w:type="dxa"/><w:left w:w="108" w:type="dxa"/><w:bottom w:w="0" w:type="dxa"/><w:right w:w="108" w:type="dxa"/></w:tblCellMar><w:tblLook w:val="04a0" w:noVBand="1" w:noHBand="0" w:lastColumn="0" w:firstColumn="1" w:lastRow="0" w:firstRow="1"/></w:tblPr><w:tblGrid><w:gridCol w:w="4621"/><w:gridCol w:w="4621"/></w:tblGrid><w:tr><w:trPr></w:trPr><w:tc><w:tcPr><w:tcW w:w="4621" w:type="dxa"/><w:tcBorders></w:tcBorders><w:shd w:fill="auto" w:val="clear"/><w:tcMar><w:left w:w="108" w:type="dxa"/></w:tcMar></w:tcPr><w:p><w:pPr><w:pStyle w:val="Normal"/><w:spacing w:lineRule="auto" w:line="240" w:before="0" w:after="0"/><w:rPr><w:rFonts w:ascii="Arial" w:hAnsi="Arial"/></w:rPr></w:pPr><w:r><w:rPr><w:rFonts w:cs="Calibri" w:ascii="Arial" w:hAnsi="Arial" w:cstheme="minorHAnsi"/><w:b/><w:sz w:val="24"/><w:szCs w:val="24"/></w:rPr><w:t>Goal 1</w:t></w:r></w:p><w:p><w:pPr><w:pStyle w:val="Normal"/><w:spacing w:lineRule="auto" w:line="240" w:before="0" w:after="0"/><w:rPr><w:rFonts w:ascii="Arial" w:hAnsi="Arial" w:cs="Calibri" w:cstheme="minorHAnsi"/><w:b w:val="false"/><w:b w:val="false"/><w:bCs w:val="false"/><w:sz w:val="24"/><w:szCs w:val="24"/></w:rPr></w:pPr><w:r><w:rPr><w:rFonts w:cs="Calibri" w:cstheme="minorHAnsi" w:ascii="Arial" w:hAnsi="Arial" w:cstheme="minorHAnsi"/><w:b w:val="false"/><w:bCs w:val="false"/><w:sz w:val="24"/><w:szCs w:val="24"/></w:rPr><w:t>Enable each staff member to confidently and comfortably provide a high level service</w:t></w:r></w:p><w:p><w:pPr><w:pStyle w:val="Normal"/><w:spacing w:lineRule="auto" w:line="240" w:before="0" w:after="0"/><w:rPr><w:rFonts w:ascii="Arial" w:hAnsi="Arial" w:cs="Calibri" w:cstheme="minorHAnsi"/><w:sz w:val="24"/><w:szCs w:val="24"/></w:rPr></w:pPr><w:r><w:rPr><w:rFonts w:cs="Calibri" w:cstheme="minorHAnsi" w:ascii="Arial" w:hAnsi="Arial"/><w:sz w:val="24"/><w:szCs w:val="24"/></w:rPr></w:r></w:p></w:tc><w:tc><w:tcPr><w:tcW w:w="4621" w:type="dxa"/><w:tcBorders></w:tcBorders><w:shd w:fill="auto" w:val="clear"/><w:tcMar><w:left w:w="108" w:type="dxa"/></w:tcMar></w:tcPr><w:p><w:pPr><w:pStyle w:val="Normal"/><w:spacing w:lineRule="auto" w:line="240" w:before="0" w:after="0"/><w:rPr><w:rFonts w:ascii="Arial" w:hAnsi="Arial"/></w:rPr></w:pPr><w:r><w:rPr><w:rFonts w:cs="Calibri" w:ascii="Arial" w:hAnsi="Arial" w:cstheme="minorHAnsi"/><w:b/><w:sz w:val="24"/><w:szCs w:val="24"/></w:rPr><w:t xml:space="preserve">Strategy </w:t></w:r><w:r><w:rPr><w:rFonts w:cs="Calibri" w:ascii="Arial" w:hAnsi="Arial" w:cstheme="minorHAnsi"/><w:b/><w:sz w:val="24"/><w:szCs w:val="24"/></w:rPr><w:t>1</w:t></w:r></w:p><w:p><w:pPr><w:pStyle w:val="Normal"/><w:spacing w:lineRule="auto" w:line="240" w:before="0" w:after="0"/><w:rPr><w:rFonts w:ascii="Arial" w:hAnsi="Arial"/><w:b w:val="false"/><w:b w:val="false"/><w:bCs w:val="false"/></w:rPr></w:pPr><w:r><w:rPr><w:rFonts w:cs="Calibri" w:ascii="Arial" w:hAnsi="Arial" w:cstheme="minorHAnsi"/><w:b w:val="false"/><w:bCs w:val="false"/><w:sz w:val="24"/><w:szCs w:val="24"/></w:rPr><w:t>Provide comprehensive training to all staff members focusing on databases by July 1 2017</w:t></w:r></w:p></w:tc></w:tr><w:tr><w:trPr></w:trPr><w:tc><w:tcPr><w:tcW w:w="4621" w:type="dxa"/><w:tcBorders></w:tcBorders><w:shd w:fill="auto" w:val="clear"/><w:tcMar><w:left w:w="108" w:type="dxa"/></w:tcMar></w:tcPr><w:p><w:pPr><w:pStyle w:val="Normal"/><w:spacing w:lineRule="auto" w:line="240" w:before="0" w:after="0"/><w:rPr><w:rFonts w:ascii="Arial" w:hAnsi="Arial" w:cs="Calibri" w:cstheme="minorHAnsi"/><w:b/><w:b/><w:sz w:val="24"/><w:szCs w:val="24"/></w:rPr></w:pPr><w:r><w:rPr><w:rFonts w:cs="Calibri" w:cstheme="minorHAnsi" w:ascii="Arial" w:hAnsi="Arial"/><w:b/><w:sz w:val="24"/><w:szCs w:val="24"/></w:rPr></w:r></w:p></w:tc><w:tc><w:tcPr><w:tcW w:w="4621" w:type="dxa"/><w:tcBorders></w:tcBorders><w:shd w:fill="auto" w:val="clear"/><w:tcMar><w:left w:w="108" w:type="dxa"/></w:tcMar></w:tcPr><w:p><w:pPr><w:pStyle w:val="Normal"/><w:spacing w:lineRule="auto" w:line="240" w:before="0" w:after="0"/><w:rPr><w:rFonts w:ascii="Arial" w:hAnsi="Arial"/></w:rPr></w:pPr><w:r><w:rPr><w:rFonts w:cs="Calibri" w:ascii="Arial" w:hAnsi="Arial" w:cstheme="minorHAnsi"/><w:b/><w:sz w:val="24"/><w:szCs w:val="24"/></w:rPr><w:t xml:space="preserve">Strategy </w:t></w:r><w:r><w:rPr><w:rFonts w:cs="Calibri" w:ascii="Arial" w:hAnsi="Arial" w:cstheme="minorHAnsi"/><w:b/><w:sz w:val="24"/><w:szCs w:val="24"/></w:rPr><w:t>2</w:t></w:r></w:p><w:p><w:pPr><w:pStyle w:val="Normal"/><w:spacing w:lineRule="auto" w:line="240" w:before="0" w:after="0"/><w:rPr><w:rFonts w:ascii="Arial" w:hAnsi="Arial"/><w:b w:val="false"/><w:b w:val="false"/><w:bCs w:val="false"/></w:rPr></w:pPr><w:r><w:rPr><w:rFonts w:cs="Calibri" w:ascii="Arial" w:hAnsi="Arial" w:cstheme="minorHAnsi"/><w:b w:val="false"/><w:bCs w:val="false"/><w:sz w:val="24"/><w:szCs w:val="24"/></w:rPr><w:t xml:space="preserve">Provide training to all staff </w:t></w:r><w:r><w:rPr><w:rFonts w:cs="Calibri" w:ascii="Arial" w:hAnsi="Arial" w:cstheme="minorHAnsi"/><w:b w:val="false"/><w:bCs w:val="false"/><w:sz w:val="24"/><w:szCs w:val="24"/></w:rPr><w:t xml:space="preserve">focusing on </w:t></w:r><w:r><w:rPr><w:rFonts w:cs="Calibri" w:ascii="Arial" w:hAnsi="Arial" w:cstheme="minorHAnsi"/><w:b w:val="false"/><w:bCs w:val="false"/><w:sz w:val="24"/><w:szCs w:val="24"/></w:rPr><w:t xml:space="preserve"> calendar web </w:t></w:r><w:r><w:rPr><w:rFonts w:cs="Calibri" w:ascii="Arial" w:hAnsi="Arial" w:cstheme="minorHAnsi"/><w:b w:val="false"/><w:bCs w:val="false"/><w:sz w:val="24"/><w:szCs w:val="24"/></w:rPr><w:t>function</w:t></w:r><w:r><w:rPr><w:rFonts w:cs="Calibri" w:ascii="Arial" w:hAnsi="Arial" w:cstheme="minorHAnsi"/><w:b w:val="false"/><w:bCs w:val="false"/><w:sz w:val="24"/><w:szCs w:val="24"/></w:rPr><w:t xml:space="preserve"> by J</w:t></w:r><w:r><w:rPr><w:rFonts w:cs="Calibri" w:ascii="Arial" w:hAnsi="Arial" w:cstheme="minorHAnsi"/><w:b w:val="false"/><w:bCs w:val="false"/><w:sz w:val="24"/><w:szCs w:val="24"/></w:rPr><w:t>uly 1</w:t></w:r><w:r><w:rPr><w:rFonts w:cs="Calibri" w:ascii="Arial" w:hAnsi="Arial" w:cstheme="minorHAnsi"/><w:b w:val="false"/><w:bCs w:val="false"/><w:sz w:val="24"/><w:szCs w:val="24"/></w:rPr><w:t xml:space="preserve"> 201</w:t></w:r><w:r><w:rPr><w:rFonts w:cs="Calibri" w:ascii="Arial" w:hAnsi="Arial" w:cstheme="minorHAnsi"/><w:b w:val="false"/><w:bCs w:val="false"/><w:sz w:val="24"/><w:szCs w:val="24"/></w:rPr><w:t>7</w:t></w:r></w:p></w:tc></w:tr><w:tr><w:trPr></w:trPr><w:tc><w:tcPr><w:tcW w:w="4621" w:type="dxa"/><w:tcBorders><w:top w:val="nil"/></w:tcBorders><w:shd w:fill="auto" w:val="clear"/><w:tcMar><w:left w:w="108" w:type="dxa"/></w:tcMar></w:tcPr><w:p><w:pPr><w:pStyle w:val="Normal"/><w:spacing w:lineRule="auto" w:line="240" w:before="0" w:after="0"/><w:rPr><w:rFonts w:ascii="Arial" w:hAnsi="Arial" w:cs="Calibri" w:cstheme="minorHAnsi"/><w:b/><w:b/><w:sz w:val="24"/><w:szCs w:val="24"/></w:rPr></w:pPr><w:r><w:rPr><w:rFonts w:cs="Calibri" w:cstheme="minorHAnsi" w:ascii="Arial" w:hAnsi="Arial"/><w:b/><w:sz w:val="24"/><w:szCs w:val="24"/></w:rPr></w:r></w:p></w:tc><w:tc><w:tcPr><w:tcW w:w="4621" w:type="dxa"/><w:tcBorders><w:top w:val="nil"/></w:tcBorders><w:shd w:fill="auto" w:val="clear"/><w:tcMar><w:left w:w="108" w:type="dxa"/></w:tcMar></w:tcPr><w:p><w:pPr><w:pStyle w:val="Normal"/><w:spacing w:lineRule="auto" w:line="240" w:before="0" w:after="0"/><w:rPr><w:rFonts w:ascii="Arial" w:hAnsi="Arial"/><w:b/><w:b/><w:bCs/></w:rPr></w:pPr><w:r><w:rPr><w:rFonts w:cs="Calibri" w:ascii="Arial" w:hAnsi="Arial" w:cstheme="minorHAnsi"/><w:b/><w:bCs/><w:sz w:val="24"/><w:szCs w:val="24"/></w:rPr><w:t>Strategy 3</w:t></w:r></w:p><w:p><w:pPr><w:pStyle w:val="Normal"/><w:spacing w:lineRule="auto" w:line="240" w:before="0" w:after="0"/><w:rPr><w:rFonts w:ascii="Arial" w:hAnsi="Arial"/></w:rPr></w:pPr><w:r><w:rPr><w:rFonts w:cs="Calibri" w:ascii="Arial" w:hAnsi="Arial" w:cstheme="minorHAnsi"/><w:sz w:val="24"/><w:szCs w:val="24"/></w:rPr><w:t>Provide mentoring by senior staff for all junior staff by July 1 2017</w:t></w:r></w:p></w:tc></w:tr><w:tr><w:trPr></w:trPr><w:tc><w:tcPr><w:tcW w:w="4621" w:type="dxa"/><w:tcBorders></w:tcBorders><w:shd w:fill="auto" w:val="clear"/><w:tcMar><w:left w:w="108" w:type="dxa"/></w:tcMar></w:tcPr><w:p><w:pPr><w:pStyle w:val="Normal"/><w:spacing w:lineRule="auto" w:line="240" w:before="0" w:after="0"/><w:rPr><w:rFonts w:ascii="Arial" w:hAnsi="Arial"/></w:rPr></w:pPr><w:r><w:rPr><w:rFonts w:cs="Calibri" w:ascii="Arial" w:hAnsi="Arial" w:cstheme="minorHAnsi"/><w:b/><w:sz w:val="24"/><w:szCs w:val="24"/></w:rPr><w:t>Goal 2</w:t></w:r></w:p><w:p><w:pPr><w:pStyle w:val="Normal"/><w:spacing w:lineRule="auto" w:line="240" w:before="0" w:after="0"/><w:rPr><w:rFonts w:ascii="Arial" w:hAnsi="Arial"/><w:b w:val="false"/><w:b w:val="false"/><w:bCs w:val="false"/></w:rPr></w:pPr><w:r><w:rPr><w:rFonts w:cs="Calibri" w:ascii="Arial" w:hAnsi="Arial" w:cstheme="minorHAnsi"/><w:b w:val="false"/><w:bCs w:val="false"/><w:sz w:val="24"/><w:szCs w:val="24"/></w:rPr><w:t>Improve feedback score to 90% satisfaction rating</w:t></w:r></w:p></w:tc><w:tc><w:tcPr><w:tcW w:w="4621" w:type="dxa"/><w:tcBorders></w:tcBorders><w:shd w:fill="auto" w:val="clear"/><w:tcMar><w:left w:w="108" w:type="dxa"/></w:tcMar></w:tcPr><w:p><w:pPr><w:pStyle w:val="Normal"/><w:spacing w:lineRule="auto" w:line="240" w:before="0" w:after="0"/><w:rPr><w:rFonts w:ascii="Arial" w:hAnsi="Arial"/></w:rPr></w:pPr><w:r><w:rPr><w:rFonts w:cs="Calibri" w:ascii="Arial" w:hAnsi="Arial" w:cstheme="minorHAnsi"/><w:b/><w:sz w:val="24"/><w:szCs w:val="24"/></w:rPr><w:t>Strategy 1</w:t></w:r></w:p><w:p><w:pPr><w:pStyle w:val="Normal"/><w:spacing w:lineRule="auto" w:line="240" w:before="0" w:after="0"/><w:rPr><w:rFonts w:ascii="Arial" w:hAnsi="Arial"/></w:rPr></w:pPr><w:r><w:rPr><w:rFonts w:cs="Calibri" w:ascii="Arial" w:hAnsi="Arial" w:cstheme="minorHAnsi"/><w:sz w:val="24"/><w:szCs w:val="24"/></w:rPr><w:t>The completion of Goal 1</w:t></w:r></w:p></w:tc></w:tr><w:tr><w:trPr></w:trPr><w:tc><w:tcPr><w:tcW w:w="4621" w:type="dxa"/><w:tcBorders></w:tcBorders><w:shd w:fill="auto" w:val="clear"/><w:tcMar><w:left w:w="108" w:type="dxa"/></w:tcMar></w:tcPr><w:p><w:pPr><w:pStyle w:val="Normal"/><w:spacing w:lineRule="auto" w:line="240" w:before="0" w:after="0"/><w:rPr><w:rFonts w:ascii="Arial" w:hAnsi="Arial" w:cs="Calibri" w:cstheme="minorHAnsi"/><w:b/><w:b/><w:sz w:val="24"/><w:szCs w:val="24"/></w:rPr></w:pPr><w:r><w:rPr><w:rFonts w:cs="Calibri" w:cstheme="minorHAnsi" w:ascii="Arial" w:hAnsi="Arial"/><w:b/><w:sz w:val="24"/><w:szCs w:val="24"/></w:rPr></w:r></w:p></w:tc><w:tc><w:tcPr><w:tcW w:w="4621" w:type="dxa"/><w:tcBorders></w:tcBorders><w:shd w:fill="auto" w:val="clear"/><w:tcMar><w:left w:w="108" w:type="dxa"/></w:tcMar></w:tcPr><w:p><w:pPr><w:pStyle w:val="Normal"/><w:spacing w:lineRule="auto" w:line="240" w:before="0" w:after="0"/><w:rPr><w:rFonts w:ascii="Arial" w:hAnsi="Arial"/></w:rPr></w:pPr><w:r><w:rPr><w:rFonts w:cs="Calibri" w:ascii="Arial" w:hAnsi="Arial" w:cstheme="minorHAnsi"/><w:b/><w:sz w:val="24"/><w:szCs w:val="24"/></w:rPr><w:t>Strategy 2</w:t></w:r></w:p><w:p><w:pPr><w:pStyle w:val="Normal"/><w:spacing w:lineRule="auto" w:line="240" w:before="0" w:after="0"/><w:rPr><w:rFonts w:ascii="Arial" w:hAnsi="Arial"/></w:rPr></w:pPr><w:r><w:rPr><w:rFonts w:cs="Calibri" w:ascii="Arial" w:hAnsi="Arial" w:cstheme="minorHAnsi"/><w:sz w:val="24"/><w:szCs w:val="24"/></w:rPr><w:t>Provide simple and quick feedback forms to be used after each enquiry/interaction by July 1 2017</w:t></w:r></w:p></w:tc></w:tr><w:tr><w:trPr></w:trPr><w:tc><w:tcPr><w:tcW w:w="4621" w:type="dxa"/><w:tcBorders></w:tcBorders><w:shd w:fill="auto" w:val="clear"/><w:tcMar><w:left w:w="108" w:type="dxa"/></w:tcMar></w:tcPr><w:p><w:pPr><w:pStyle w:val="Normal"/><w:spacing w:lineRule="auto" w:line="240" w:before="0" w:after="0"/><w:rPr><w:rFonts w:ascii="Arial" w:hAnsi="Arial"/></w:rPr></w:pPr><w:r><w:rPr><w:rFonts w:cs="Calibri" w:ascii="Arial" w:hAnsi="Arial" w:cstheme="minorHAnsi"/><w:b/><w:sz w:val="24"/><w:szCs w:val="24"/></w:rPr><w:t>Goal 3</w:t></w:r></w:p><w:p><w:pPr><w:pStyle w:val="Normal"/><w:spacing w:lineRule="auto" w:line="240" w:before="0" w:after="0"/><w:rPr><w:rFonts w:ascii="Arial" w:hAnsi="Arial"/><w:b w:val="false"/><w:b w:val="false"/><w:bCs w:val="false"/></w:rPr></w:pPr><w:r><w:rPr><w:rFonts w:cs="Calibri" w:ascii="Arial" w:hAnsi="Arial" w:cstheme="minorHAnsi"/><w:b w:val="false"/><w:bCs w:val="false"/><w:i w:val="false"/><w:iCs w:val="false"/><w:sz w:val="24"/><w:szCs w:val="24"/><w:u w:val="none"/></w:rPr><w:t>D</w:t></w:r><w:r><w:rPr><w:rFonts w:cs="Arial" w:ascii="Arial" w:hAnsi="Arial"/><w:b w:val="false"/><w:bCs w:val="false"/><w:i w:val="false"/><w:iCs w:val="false"/><w:sz w:val="24"/><w:szCs w:val="24"/><w:u w:val="none"/></w:rPr><w:t xml:space="preserve">evelop </w:t></w:r><w:r><w:rPr><w:rFonts w:cs="Arial" w:ascii="Arial" w:hAnsi="Arial"/><w:b w:val="false"/><w:bCs w:val="false"/><w:i w:val="false"/><w:iCs w:val="false"/><w:sz w:val="24"/><w:szCs w:val="24"/><w:u w:val="none"/></w:rPr><w:t>mobile</w:t></w:r><w:r><w:rPr><w:rFonts w:cs="Arial" w:ascii="Arial" w:hAnsi="Arial"/><w:b w:val="false"/><w:bCs w:val="false"/><w:i w:val="false"/><w:iCs w:val="false"/><w:sz w:val="24"/><w:szCs w:val="24"/><w:u w:val="none"/></w:rPr><w:t xml:space="preserve"> application to further enhance the delivery of services</w:t></w:r></w:p><w:p><w:pPr><w:pStyle w:val="Normal"/><w:spacing w:lineRule="auto" w:line="240" w:before="0" w:after="0"/><w:rPr><w:rFonts w:ascii="Arial" w:hAnsi="Arial" w:cs="Calibri" w:cstheme="minorHAnsi"/><w:sz w:val="24"/><w:szCs w:val="24"/></w:rPr></w:pPr><w:r><w:rPr><w:rFonts w:cs="Calibri" w:cstheme="minorHAnsi" w:ascii="Arial" w:hAnsi="Arial"/><w:sz w:val="24"/><w:szCs w:val="24"/></w:rPr></w:r></w:p></w:tc><w:tc><w:tcPr><w:tcW w:w="4621" w:type="dxa"/><w:tcBorders></w:tcBorders><w:shd w:fill="auto" w:val="clear"/><w:tcMar><w:left w:w="108" w:type="dxa"/></w:tcMar></w:tcPr><w:p><w:pPr><w:pStyle w:val="Normal"/><w:spacing w:lineRule="auto" w:line="240" w:before="0" w:after="0"/><w:rPr><w:rFonts w:ascii="Arial" w:hAnsi="Arial"/></w:rPr></w:pPr><w:r><w:rPr><w:rFonts w:cs="Calibri" w:ascii="Arial" w:hAnsi="Arial" w:cstheme="minorHAnsi"/><w:b/><w:sz w:val="24"/><w:szCs w:val="24"/></w:rPr><w:t>Strategy 1</w:t></w:r></w:p><w:p><w:pPr><w:pStyle w:val="Normal"/><w:spacing w:lineRule="auto" w:line="240" w:before="0" w:after="0"/><w:rPr><w:rFonts w:ascii="Arial" w:hAnsi="Arial"/></w:rPr></w:pPr><w:r><w:rPr><w:rFonts w:cs="Calibri" w:ascii="Arial" w:hAnsi="Arial" w:cstheme="minorHAnsi"/><w:sz w:val="24"/><w:szCs w:val="24"/></w:rPr><w:t xml:space="preserve">Liaise with IT staff to have a plan in place to create a </w:t></w:r><w:r><w:rPr><w:rFonts w:cs="Calibri" w:ascii="Arial" w:hAnsi="Arial" w:cstheme="minorHAnsi"/><w:sz w:val="24"/><w:szCs w:val="24"/></w:rPr><w:t>mobile application by July1 2017</w:t></w:r></w:p></w:tc></w:tr><w:tr><w:trPr></w:trPr><w:tc><w:tcPr><w:tcW w:w="4621" w:type="dxa"/><w:tcBorders></w:tcBorders><w:shd w:fill="auto" w:val="clear"/><w:tcMar><w:left w:w="108" w:type="dxa"/></w:tcMar></w:tcPr><w:p><w:pPr><w:pStyle w:val="Normal"/><w:spacing w:lineRule="auto" w:line="240" w:before="0" w:after="0"/><w:rPr><w:rFonts w:ascii="Arial" w:hAnsi="Arial" w:cs="Calibri" w:cstheme="minorHAnsi"/><w:b/><w:b/><w:sz w:val="24"/><w:szCs w:val="24"/></w:rPr></w:pPr><w:r><w:rPr><w:rFonts w:cs="Calibri" w:cstheme="minorHAnsi" w:ascii="Arial" w:hAnsi="Arial"/><w:b/><w:sz w:val="24"/><w:szCs w:val="24"/></w:rPr></w:r></w:p></w:tc><w:tc><w:tcPr><w:tcW w:w="4621" w:type="dxa"/><w:tcBorders></w:tcBorders><w:shd w:fill="auto" w:val="clear"/><w:tcMar><w:left w:w="108" w:type="dxa"/></w:tcMar></w:tcPr><w:p><w:pPr><w:pStyle w:val="Normal"/><w:spacing w:lineRule="auto" w:line="240" w:before="0" w:after="0"/><w:rPr><w:rFonts w:ascii="Arial" w:hAnsi="Arial"/></w:rPr></w:pPr><w:r><w:rPr><w:rFonts w:cs="Calibri" w:ascii="Arial" w:hAnsi="Arial" w:cstheme="minorHAnsi"/><w:b/><w:sz w:val="24"/><w:szCs w:val="24"/></w:rPr><w:t>Strategy 2</w:t></w:r></w:p><w:p><w:pPr><w:pStyle w:val="Normal"/><w:spacing w:lineRule="auto" w:line="240" w:before="0" w:after="0"/><w:rPr><w:rFonts w:ascii="Arial" w:hAnsi="Arial"/></w:rPr></w:pPr><w:r><w:rPr><w:rFonts w:cs="Calibri" w:ascii="Arial" w:hAnsi="Arial" w:cstheme="minorHAnsi"/><w:sz w:val="24"/><w:szCs w:val="24"/></w:rPr><w:t>Further liaise with IT staff to have a mobile application up and running by December 1 2017</w:t></w:r></w:p><w:p><w:pPr><w:pStyle w:val="Normal"/><w:spacing w:lineRule="auto" w:line="240" w:before="0" w:after="0"/><w:rPr><w:rFonts w:ascii="Arial" w:hAnsi="Arial" w:cs="Calibri" w:cstheme="minorHAnsi"/><w:b/><w:b/><w:sz w:val="24"/><w:szCs w:val="24"/></w:rPr></w:pPr><w:r><w:rPr><w:rFonts w:cs="Calibri" w:cstheme="minorHAnsi" w:ascii="Arial" w:hAnsi="Arial"/><w:b/><w:sz w:val="24"/><w:szCs w:val="24"/></w:rPr></w:r></w:p></w:tc></w:tr></w:tbl><w:p><w:pPr><w:pStyle w:val="Normal"/><w:spacing w:lineRule="auto" w:line="360"/><w:jc w:val="center"/><w:rPr><w:rFonts w:ascii="Arial" w:hAnsi="Arial" w:cs="Arial"/><w:i/><w:i/><w:iCs/><w:sz w:val="24"/><w:szCs w:val="24"/><w:u w:val="none"/></w:rPr></w:pPr><w:r><w:rPr><w:rFonts w:cs="Arial" w:ascii="Arial" w:hAnsi="Arial"/><w:i/><w:iCs/><w:sz w:val="20"/><w:szCs w:val="20"/></w:rPr><w:t xml:space="preserve">Table 2. </w:t></w:r></w:p><w:p><w:pPr><w:pStyle w:val="Normal"/><w:spacing w:lineRule="auto" w:line="360"/><w:rPr><w:rFonts w:ascii="Arial" w:hAnsi="Arial" w:cs="Arial"/><w:sz w:val="24"/><w:szCs w:val="24"/></w:rPr></w:pPr><w:r><w:rPr><w:rFonts w:cs="Arial" w:ascii="Arial" w:hAnsi="Arial"/><w:sz w:val="24"/><w:szCs w:val="24"/></w:rPr></w:r></w:p><w:p><w:pPr><w:pStyle w:val="Heading1"/><w:spacing w:lineRule="auto" w:line="360"/><w:rPr><w:rFonts w:ascii="Arial" w:hAnsi="Arial" w:cs="Arial"/><w:sz w:val="24"/><w:szCs w:val="24"/></w:rPr></w:pPr><w:bookmarkStart w:id="6" w:name="_Toc476131833"/><w:bookmarkEnd w:id="6"/><w:r><w:rPr><w:rFonts w:cs="Arial" w:ascii="Arial" w:hAnsi="Arial"/><w:sz w:val="24"/><w:szCs w:val="24"/></w:rPr><w:t>6 References</w:t></w:r></w:p><w:p><w:pPr><w:pStyle w:val="Normal"/><w:spacing w:lineRule="auto" w:line="360"/><w:rPr><w:rFonts w:ascii="Arial" w:hAnsi="Arial" w:cs="Arial"/><w:sz w:val="24"/><w:szCs w:val="24"/></w:rPr></w:pPr><w:r><w:rPr><w:rFonts w:cs="Arial" w:ascii="Arial" w:hAnsi="Arial"/><w:sz w:val="24"/><w:szCs w:val="24"/></w:rPr></w:r></w:p><w:p><w:pPr><w:pStyle w:val="Normal"/><w:spacing w:lineRule="auto" w:line="360"/><w:ind w:left="720" w:hanging="720"/><w:rPr><w:rFonts w:ascii="Arial" w:hAnsi="Arial" w:cs="Arial"/><w:sz w:val="24"/><w:szCs w:val="24"/></w:rPr></w:pPr><w:r><w:rPr><w:rFonts w:cs="Calibri" w:ascii="Arial" w:hAnsi="Arial"/><w:color w:val="000000"/><w:sz w:val="24"/><w:szCs w:val="24"/><w:shd w:fill="FFFFFF" w:val="clear"/></w:rPr><w:t>Billings Public Library. (2016). Strategic Plan. Retrieved from http://billingslibrary.org/DocumentCenter/View/63</w:t></w:r></w:p><w:p><w:pPr><w:pStyle w:val="Normal"/><w:spacing w:lineRule="auto" w:line="360"/><w:rPr><w:rFonts w:ascii="Arial" w:hAnsi="Arial" w:cs="Calibri" w:cstheme="minorHAnsi"/><w:sz w:val="24"/><w:szCs w:val="24"/></w:rPr></w:pPr><w:r><w:rPr></w:rPr></w:r></w:p><w:p><w:pPr><w:pStyle w:val="Normal"/><w:spacing w:lineRule="auto" w:line="360"/><w:rPr></w:rPr></w:pPr><w:r><w:rPr><w:rFonts w:cs="Calibri" w:ascii="Arial" w:hAnsi="Arial" w:cstheme="minorHAnsi"/><w:sz w:val="24"/><w:szCs w:val="24"/></w:rPr><w:t>City of Stirling. (</w:t></w:r><w:r><w:rPr><w:rFonts w:cs="Calibri" w:ascii="Arial" w:hAnsi="Arial" w:cstheme="minorHAnsi"/><w:sz w:val="24"/><w:szCs w:val="24"/></w:rPr><w:t>2016</w:t></w:r><w:r><w:rPr><w:rFonts w:cs="Calibri" w:ascii="Arial" w:hAnsi="Arial" w:cstheme="minorHAnsi"/><w:sz w:val="24"/><w:szCs w:val="24"/></w:rPr><w:t xml:space="preserve">). </w:t></w:r><w:r><w:rPr><w:rFonts w:cs="Calibri" w:ascii="Arial" w:hAnsi="Arial" w:cstheme="minorHAnsi"/><w:i/><w:sz w:val="24"/><w:szCs w:val="24"/></w:rPr><w:t xml:space="preserve">Customer service charter. </w:t></w:r><w:r><w:rPr><w:rFonts w:cs="Calibri" w:ascii="Arial" w:hAnsi="Arial" w:cstheme="minorHAnsi"/><w:sz w:val="24"/><w:szCs w:val="24"/></w:rPr><w:t xml:space="preserve">Retrieved from </w:t><w:tab/><w:tab/><w:tab/><w:t>http://www.stirling.wa.gov.au/Council/Organisational</w:t><w:tab/><w:t>%20information/Pages/Customer-charter.aspx</w:t></w:r></w:p><w:p><w:pPr><w:pStyle w:val="Normal"/><w:spacing w:lineRule="auto" w:line="360"/><w:ind w:left="720" w:hanging="720"/><w:rPr><w:color w:val="000000"/><w:highlight w:val="white"/></w:rPr></w:pPr><w:r><w:rPr><w:rFonts w:cs="Arial" w:ascii="Arial" w:hAnsi="Arial"/><w:sz w:val="24"/><w:szCs w:val="24"/></w:rPr></w:r></w:p><w:p><w:pPr><w:pStyle w:val="Normal"/><w:spacing w:lineRule="auto" w:line="360"/><w:ind w:left="720" w:hanging="720"/><w:rPr><w:rFonts w:ascii="Arial" w:hAnsi="Arial" w:cs="Arial"/><w:sz w:val="24"/><w:szCs w:val="24"/></w:rPr></w:pPr><w:r><w:rPr><w:rFonts w:cs="Arial" w:ascii="Arial" w:hAnsi="Arial"/><w:color w:val="000000"/><w:sz w:val="24"/><w:szCs w:val="24"/><w:shd w:fill="FFFFFF" w:val="clear"/></w:rPr><w:t xml:space="preserve">Dumex Business Consulting. (2016). </w:t></w:r><w:r><w:rPr><w:rFonts w:cs="Arial" w:ascii="Arial" w:hAnsi="Arial"/><w:i/><w:color w:val="000000"/><w:sz w:val="24"/><w:szCs w:val="24"/><w:shd w:fill="FFFFFF" w:val="clear"/></w:rPr><w:t xml:space="preserve">Smart Goals </w:t></w:r><w:r><w:rPr><w:rFonts w:cs="Arial" w:ascii="Arial" w:hAnsi="Arial"/><w:i/><w:color w:val="000000"/><w:sz w:val="24"/><w:szCs w:val="24"/><w:shd w:fill="FFFFFF" w:val="clear"/></w:rPr><w:t>Principle</w:t></w:r><w:r><w:rPr><w:rFonts w:cs="Arial" w:ascii="Arial" w:hAnsi="Arial"/><w:i/><w:color w:val="000000"/><w:sz w:val="24"/><w:szCs w:val="24"/><w:shd w:fill="FFFFFF" w:val="clear"/></w:rPr><w:t xml:space="preserve"> That Can Be Applicable In An Organizational System</w:t></w:r><w:r><w:rPr><w:rFonts w:cs="Arial" w:ascii="Arial" w:hAnsi="Arial"/><w:color w:val="000000"/><w:sz w:val="24"/><w:szCs w:val="24"/><w:shd w:fill="FFFFFF" w:val="clear"/></w:rPr><w:t>. Retrieved from http://www.dumexbusinessconsulting.com/2016/04/10/smart-goals-principle-that-can-be-applicable-in-an-organizational-system/</w:t></w:r></w:p><w:p><w:pPr><w:pStyle w:val="Normal"/><w:spacing w:lineRule="auto" w:line="360"/><w:ind w:left="720" w:hanging="720"/><w:rPr><w:rFonts w:ascii="Arial" w:hAnsi="Arial" w:cs="Calibri" w:cstheme="minorHAnsi"/><w:sz w:val="24"/><w:szCs w:val="24"/></w:rPr></w:pPr><w:r><w:rPr><w:rFonts w:cs="Arial" w:ascii="Arial" w:hAnsi="Arial"/><w:sz w:val="24"/><w:szCs w:val="24"/></w:rPr></w:r></w:p><w:p><w:pPr><w:pStyle w:val="Normal"/><w:spacing w:lineRule="auto" w:line="360"/><w:ind w:left="720" w:hanging="720"/><w:rPr><w:rFonts w:ascii="Arial" w:hAnsi="Arial" w:cs="Arial"/><w:sz w:val="24"/><w:szCs w:val="24"/></w:rPr></w:pPr><w:r><w:rPr><w:rFonts w:cs="Arial" w:ascii="Arial" w:hAnsi="Arial"/><w:color w:val="000000"/><w:sz w:val="24"/><w:szCs w:val="24"/><w:shd w:fill="FFFFFF" w:val="clear"/></w:rPr><w:t>Gregory, Alyssa. (2009). Customer Service 101: The Customer’s Perspective. Retrieved from https://www.sitepoint.com/customer-service-client-perspective/</w:t></w:r></w:p><w:p><w:pPr><w:pStyle w:val="Normal"/><w:spacing w:lineRule="auto" w:line="360"/><w:rPr><w:rFonts w:ascii="Arial" w:hAnsi="Arial" w:cs="Arial"/><w:sz w:val="24"/><w:szCs w:val="24"/></w:rPr></w:pPr><w:r><w:rPr><w:rFonts w:cs="Arial" w:ascii="Arial" w:hAnsi="Arial"/><w:sz w:val="24"/><w:szCs w:val="24"/></w:rPr></w:r></w:p><w:p><w:pPr><w:pStyle w:val="Normal"/><w:spacing w:lineRule="auto" w:line="360"/><w:rPr><w:rFonts w:ascii="Arial" w:hAnsi="Arial" w:cs="Arial"/><w:sz w:val="24"/><w:szCs w:val="24"/></w:rPr></w:pPr><w:r><w:rPr><w:rFonts w:cs="Arial" w:ascii="Arial" w:hAnsi="Arial"/><w:sz w:val="24"/><w:szCs w:val="24"/></w:rPr><w:t xml:space="preserve">Infinit Contact. (2016). 10 Traits of the best customer service support teams. </w:t><w:tab/><w:t>Retrieved from http://www.infinitcontact.com/blog/10-traits-of-best-customer-</w:t></w:r><w:hyperlink r:id="rId7"><w:r><w:rPr><w:webHidden/><w:rFonts w:cs="Arial" w:ascii="Arial" w:hAnsi="Arial"/><w:sz w:val="24"/><w:szCs w:val="24"/></w:rPr><w:tab/><w:t>service-support-teams/</w:t></w:r></w:hyperlink></w:p><w:p><w:pPr><w:pStyle w:val="Normal"/><w:spacing w:lineRule="auto" w:line="360"/><w:ind w:left="720" w:hanging="720"/><w:rPr><w:rFonts w:ascii="Arial" w:hAnsi="Arial" w:cs="Arial"/><w:color w:val="000000"/><w:sz w:val="24"/><w:szCs w:val="24"/><w:highlight w:val="white"/></w:rPr></w:pPr><w:r><w:rPr></w:rPr></w:r></w:p><w:p><w:pPr><w:pStyle w:val="Normal"/><w:spacing w:lineRule="auto" w:line="360"/><w:ind w:left="720" w:hanging="720"/><w:rPr></w:rPr></w:pPr><w:r><w:rPr><w:rFonts w:cs="Arial" w:ascii="Arial" w:hAnsi="Arial"/><w:color w:val="000000"/><w:sz w:val="24"/><w:szCs w:val="24"/><w:shd w:fill="FFFFFF" w:val="clear"/></w:rPr><w:t>Lukic, C. (201</w:t></w:r><w:r><w:rPr><w:rFonts w:cs="Arial" w:ascii="Arial" w:hAnsi="Arial"/><w:color w:val="000000"/><w:sz w:val="24"/><w:szCs w:val="24"/><w:shd w:fill="FFFFFF" w:val="clear"/></w:rPr><w:t>7</w:t></w:r><w:r><w:rPr><w:rFonts w:cs="Arial" w:ascii="Arial" w:hAnsi="Arial"/><w:color w:val="000000"/><w:sz w:val="24"/><w:szCs w:val="24"/><w:shd w:fill="FFFFFF" w:val="clear"/></w:rPr><w:t xml:space="preserve">).  </w:t></w:r><w:r><w:rPr><w:rFonts w:cs="Arial" w:ascii="Arial" w:hAnsi="Arial"/><w:i/><w:color w:val="000000"/><w:sz w:val="24"/><w:szCs w:val="24"/><w:shd w:fill="FFFFFF" w:val="clear"/></w:rPr><w:t>Case Study Information for Metro-Info.</w:t></w:r><w:r><w:rPr><w:rFonts w:cs="Arial" w:ascii="Arial" w:hAnsi="Arial"/><w:color w:val="000000"/><w:sz w:val="24"/><w:szCs w:val="24"/><w:shd w:fill="FFFFFF" w:val="clear"/></w:rPr><w:t xml:space="preserve"> Retrieved from </w:t><w:tab/><w:t>http://blackboard.central.wa.edu.au</w:t></w:r></w:p><w:p><w:pPr><w:pStyle w:val="Normal"/><w:spacing w:lineRule="auto" w:line="360"/><w:rPr><w:rFonts w:ascii="Arial" w:hAnsi="Arial" w:cs="Arial"/><w:sz w:val="24"/><w:szCs w:val="24"/></w:rPr></w:pPr><w:r><w:rPr><w:rFonts w:cs="Arial" w:ascii="Arial" w:hAnsi="Arial"/><w:sz w:val="24"/><w:szCs w:val="24"/></w:rPr></w:r></w:p><w:p><w:pPr><w:pStyle w:val="Normal"/><w:spacing w:lineRule="auto" w:line="360"/><w:rPr></w:rPr></w:pPr><w:r><w:rPr><w:rFonts w:cs="Calibri" w:ascii="Arial" w:hAnsi="Arial" w:cstheme="minorHAnsi"/><w:sz w:val="24"/><w:szCs w:val="24"/></w:rPr><w:t xml:space="preserve">Monash University Library. (2016). </w:t></w:r><w:r><w:rPr><w:rFonts w:cs="Calibri" w:ascii="Arial" w:hAnsi="Arial" w:cstheme="minorHAnsi"/><w:i/><w:sz w:val="24"/><w:szCs w:val="24"/></w:rPr><w:t xml:space="preserve">Our mission. </w:t></w:r><w:r><w:rPr><w:rFonts w:cs="Calibri" w:ascii="Arial" w:hAnsi="Arial" w:cstheme="minorHAnsi"/><w:sz w:val="24"/><w:szCs w:val="24"/></w:rPr><w:t>Retrieved from</w:t><w:tab/><w:t>http://www.monash.edu/library/about/us/mission</w:t></w:r></w:p><w:p><w:pPr><w:pStyle w:val="Normal"/><w:spacing w:lineRule="auto" w:line="360"/><w:ind w:left="720" w:hanging="720"/><w:rPr><w:rFonts w:ascii="Arial" w:hAnsi="Arial" w:cs="Arial"/><w:color w:val="000000"/><w:sz w:val="24"/><w:szCs w:val="24"/><w:highlight w:val="white"/></w:rPr></w:pPr><w:r><w:rPr></w:rPr></w:r></w:p><w:p><w:pPr><w:pStyle w:val="Normal"/><w:spacing w:lineRule="auto" w:line="360"/><w:ind w:hanging="0"/><w:rPr><w:rFonts w:ascii="Arial" w:hAnsi="Arial" w:cs="Arial"/><w:sz w:val="24"/><w:szCs w:val="24"/></w:rPr></w:pPr><w:r><w:rPr></w:rPr></w:r></w:p><w:p><w:pPr><w:pStyle w:val="Normal"/><w:spacing w:lineRule="auto" w:line="360"/><w:ind w:left="720" w:hanging="720"/><w:rPr><w:rFonts w:ascii="Arial" w:hAnsi="Arial" w:cs="Arial"/><w:sz w:val="24"/><w:szCs w:val="24"/></w:rPr></w:pPr><w:r><w:rPr><w:rFonts w:cs="Arial" w:ascii="Arial" w:hAnsi="Arial"/><w:color w:val="000000"/><w:sz w:val="24"/><w:szCs w:val="24"/><w:shd w:fill="FFFFFF" w:val="clear"/></w:rPr><w:t>Smartsheet Blog. (2015). The Essential Guide to Writing Smart Goals. Retrieved from https://www.smartsheet.com/blog/essential-guide-writing-smart-goals</w:t></w:r></w:p><w:p><w:pPr><w:pStyle w:val="Normal"/><w:spacing w:lineRule="auto" w:line="360"/><w:rPr><w:rFonts w:ascii="Arial" w:hAnsi="Arial" w:cs="Arial"/><w:sz w:val="24"/><w:szCs w:val="24"/></w:rPr></w:pPr><w:r><w:rPr><w:rFonts w:cs="Arial" w:ascii="Arial" w:hAnsi="Arial"/><w:sz w:val="24"/><w:szCs w:val="24"/></w:rPr></w:r></w:p><w:p><w:pPr><w:pStyle w:val="Normal"/><w:spacing w:lineRule="auto" w:line="360"/><w:rPr><w:rFonts w:ascii="Arial" w:hAnsi="Arial" w:cs="Arial"/><w:sz w:val="24"/><w:szCs w:val="24"/></w:rPr></w:pPr><w:r><w:rPr><w:rFonts w:cs="Arial" w:ascii="Arial" w:hAnsi="Arial"/><w:sz w:val="24"/><w:szCs w:val="24"/></w:rPr></w:r></w:p><w:p><w:pPr><w:pStyle w:val="Normal"/><w:spacing w:lineRule="auto" w:line="360"/><w:rPr><w:rFonts w:ascii="Arial" w:hAnsi="Arial" w:cs="Arial"/><w:sz w:val="24"/><w:szCs w:val="24"/></w:rPr></w:pPr><w:r><w:rPr><w:rFonts w:cs="Arial" w:ascii="Arial" w:hAnsi="Arial"/><w:sz w:val="24"/><w:szCs w:val="24"/></w:rPr><w:t>Bibliography</w:t></w:r></w:p><w:p><w:pPr><w:pStyle w:val="Normal"/><w:ind w:left="720" w:hanging="720"/><w:rPr><w:rFonts w:ascii="Arial" w:hAnsi="Arial" w:cs="Arial"/><w:sz w:val="24"/><w:szCs w:val="24"/></w:rPr></w:pPr><w:r><w:rPr><w:rFonts w:cs="Arial" w:ascii="Arial" w:hAnsi="Arial"/><w:sz w:val="24"/><w:szCs w:val="24"/></w:rPr></w:r></w:p><w:p><w:pPr><w:pStyle w:val="Normal"/><w:spacing w:lineRule="auto" w:line="360"/><w:ind w:left="720" w:hanging="720"/><w:rPr><w:rFonts w:ascii="Arial" w:hAnsi="Arial" w:cs="Arial"/><w:sz w:val="24"/><w:szCs w:val="24"/></w:rPr></w:pPr><w:r><w:rPr><w:rFonts w:cs="Arial" w:ascii="Arial" w:hAnsi="Arial"/><w:color w:val="000000"/><w:sz w:val="24"/><w:szCs w:val="24"/><w:shd w:fill="FFFFFF" w:val="clear"/></w:rPr><w:t>ALIA. (2016). Guidelines, Standards and Outcome Measures for Australian Public Libraries. Retrieved from https://alia.org.au/sites/default/files/Guidelines%20Standards%20and%20Outcome%20Measures%20for%20Australian%20Public%20Libraries.pdf</w:t></w:r></w:p><w:p><w:pPr><w:pStyle w:val="Normal"/><w:spacing w:lineRule="auto" w:line="360"/><w:ind w:left="720" w:hanging="720"/><w:rPr><w:rFonts w:ascii="Arial" w:hAnsi="Arial"/><w:color w:val="000000"/><w:highlight w:val="white"/></w:rPr></w:pPr><w:r><w:rPr><w:rFonts w:cs="Arial" w:ascii="Arial" w:hAnsi="Arial"/><w:sz w:val="24"/><w:szCs w:val="24"/></w:rPr></w:r></w:p><w:p><w:pPr><w:pStyle w:val="Normal"/><w:spacing w:lineRule="auto" w:line="360"/><w:ind w:left="720" w:hanging="720"/><w:rPr><w:rFonts w:ascii="Arial" w:hAnsi="Arial" w:cs="Arial"/><w:sz w:val="24"/><w:szCs w:val="24"/></w:rPr></w:pPr><w:r><w:rPr><w:rFonts w:cs="Arial" w:ascii="Arial" w:hAnsi="Arial"/><w:color w:val="000000"/><w:sz w:val="24"/><w:szCs w:val="24"/><w:shd w:fill="FFFFFF" w:val="clear"/></w:rPr><w:t>ALIA. (2012). Standards and Guidelines for Australian Public Libraries. Retrieved from https://alia.org.au/sites/default/files/documents/advocacy/PLSG_ALIA_2012.pdf</w:t></w:r></w:p><w:p><w:pPr><w:pStyle w:val="Normal"/><w:spacing w:lineRule="auto" w:line="360"/><w:ind w:left="720" w:hanging="720"/><w:rPr><w:rFonts w:ascii="Verdana" w:hAnsi="Verdana" w:cs="Arial"/><w:color w:val="555555"/><w:sz w:val="18"/><w:szCs w:val="18"/><w:shd w:fill="FFFFFF" w:val="clear"/></w:rPr></w:pPr><w:r><w:rPr><w:rFonts w:cs="Arial" w:ascii="Verdana" w:hAnsi="Verdana"/><w:color w:val="555555"/><w:sz w:val="18"/><w:szCs w:val="18"/><w:shd w:fill="FFFFFF" w:val="clear"/></w:rPr></w:r></w:p><w:p><w:pPr><w:pStyle w:val="Normal"/><w:spacing w:lineRule="auto" w:line="360"/><w:ind w:left="720" w:hanging="720"/><w:rPr><w:rFonts w:ascii="Arial" w:hAnsi="Arial" w:cs="Arial"/><w:sz w:val="24"/><w:szCs w:val="24"/></w:rPr></w:pPr><w:r><w:rPr><w:rFonts w:cs="Calibri" w:ascii="Arial" w:hAnsi="Arial" w:cstheme="minorHAnsi"/><w:color w:val="000000"/><w:sz w:val="24"/><w:szCs w:val="24"/><w:highlight w:val="white"/></w:rPr><w:t xml:space="preserve">Welch, L. (2006). </w:t></w:r><w:r><w:rPr><w:rFonts w:cs="Calibri" w:ascii="Arial" w:hAnsi="Arial" w:cstheme="minorHAnsi"/><w:i/><w:color w:val="000000"/><w:sz w:val="24"/><w:szCs w:val="24"/><w:highlight w:val="white"/></w:rPr><w:t>The other 51 weeks: a marketing handbook for librarians (revised edition).</w:t></w:r><w:r><w:rPr><w:rFonts w:cs="Calibri" w:ascii="Arial" w:hAnsi="Arial" w:cstheme="minorHAnsi"/><w:color w:val="000000"/><w:sz w:val="24"/><w:szCs w:val="24"/><w:highlight w:val="white"/></w:rPr><w:t xml:space="preserve"> Charles Sturt </w:t><w:tab/><w:t xml:space="preserve">University -Centre for Information Studies: Wagga Wagga, NSW.  </w:t></w:r></w:p><w:p><w:pPr><w:pStyle w:val="Normal"/><w:spacing w:lineRule="auto" w:line="360"/><w:rPr><w:rFonts w:ascii="Arial" w:hAnsi="Arial" w:cs="Arial"/><w:sz w:val="24"/><w:szCs w:val="24"/></w:rPr></w:pPr><w:r><w:rPr><w:rFonts w:cs="Arial" w:ascii="Arial" w:hAnsi="Arial"/><w:sz w:val="24"/><w:szCs w:val="24"/></w:rPr></w:r></w:p><w:p><w:pPr><w:pStyle w:val="Normal"/><w:spacing w:lineRule="auto" w:line="360"/><w:rPr><w:rFonts w:ascii="Arial" w:hAnsi="Arial" w:cs="Arial"/><w:sz w:val="24"/><w:szCs w:val="24"/></w:rPr></w:pPr><w:r><w:rPr><w:rFonts w:cs="Arial" w:ascii="Arial" w:hAnsi="Arial"/><w:sz w:val="24"/><w:szCs w:val="24"/></w:rPr></w:r></w:p><w:p><w:pPr><w:pStyle w:val="Normal"/><w:spacing w:lineRule="auto" w:line="360" w:before="0" w:after="160"/><w:rPr></w:rPr></w:pPr><w:r><w:rPr></w:rPr></w:r></w:p><w:sectPr><w:type w:val="nextPage"/><w:pgSz w:w="11906" w:h="16838"/><w:pgMar w:left="1440" w:right="1440" w:header="0" w:top="1440" w:footer="0" w:bottom="1440" w:gutter="0"/><w:pgNumType w:start="0" w:fmt="decimal"/><w:formProt w:val="false"/><w:titlePg/><w:textDirection w:val="lrTb"/><w:docGrid w:type="default" w:linePitch="360" w:charSpace="4294965247"/></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alibri Light">
    <w:charset w:val="01"/>
    <w:family w:val="roman"/>
    <w:pitch w:val="variable"/>
  </w:font>
  <w:font w:name="Liberation Sans">
    <w:altName w:val="Arial"/>
    <w:charset w:val="01"/>
    <w:family w:val="roman"/>
    <w:pitch w:val="variable"/>
  </w:font>
  <w:font w:name="Arial">
    <w:charset w:val="01"/>
    <w:family w:val="roman"/>
    <w:pitch w:val="variable"/>
  </w:font>
  <w:font w:name="Arial">
    <w:charset w:val="01"/>
    <w:family w:val="swiss"/>
    <w:pitch w:val="default"/>
  </w:font>
  <w:font w:name="Verdana">
    <w:charset w:val="01"/>
    <w:family w:val="roman"/>
    <w:pitch w:val="variable"/>
  </w:font>
</w:fonts>
</file>

<file path=word/settings.xml><?xml version="1.0" encoding="utf-8"?>
<w:settings xmlns:w="http://schemas.openxmlformats.org/wordprocessingml/2006/main">
  <w:zoom w:percent="75"/>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AU"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宋体" w:cs="" w:asciiTheme="minorHAnsi" w:cstheme="minorBidi" w:eastAsiaTheme="minorEastAsia" w:hAnsiTheme="minorHAnsi"/>
        <w:szCs w:val="22"/>
        <w:lang w:val="en-AU" w:eastAsia="zh-CN"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宋体" w:cs="" w:asciiTheme="minorHAnsi" w:cstheme="minorBidi" w:eastAsiaTheme="minorEastAsia" w:hAnsiTheme="minorHAnsi"/>
      <w:color w:val="00000A"/>
      <w:sz w:val="22"/>
      <w:szCs w:val="22"/>
      <w:lang w:val="en-AU" w:eastAsia="zh-CN" w:bidi="ar-SA"/>
    </w:rPr>
  </w:style>
  <w:style w:type="paragraph" w:styleId="Heading1">
    <w:name w:val="Heading 1"/>
    <w:basedOn w:val="Normal"/>
    <w:next w:val="Normal"/>
    <w:link w:val="Heading1Char"/>
    <w:uiPriority w:val="9"/>
    <w:qFormat/>
    <w:rsid w:val="00ef6565"/>
    <w:pPr>
      <w:keepNext/>
      <w:keepLines/>
      <w:spacing w:before="240" w:after="0"/>
      <w:outlineLvl w:val="0"/>
    </w:pPr>
    <w:rPr>
      <w:rFonts w:ascii="Calibri Light" w:hAnsi="Calibri Light" w:eastAsia="宋体" w:cs="" w:asciiTheme="majorHAnsi" w:cstheme="majorBidi" w:eastAsiaTheme="majorEastAsia" w:hAnsiTheme="majorHAnsi"/>
      <w:color w:val="2E74B5" w:themeColor="accent1" w:themeShade="bf"/>
      <w:sz w:val="32"/>
      <w:szCs w:val="32"/>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ef6565"/>
    <w:rPr>
      <w:rFonts w:ascii="Calibri Light" w:hAnsi="Calibri Light" w:eastAsia="宋体" w:cs="" w:asciiTheme="majorHAnsi" w:cstheme="majorBidi" w:eastAsiaTheme="majorEastAsia" w:hAnsiTheme="majorHAnsi"/>
      <w:color w:val="2E74B5" w:themeColor="accent1" w:themeShade="bf"/>
      <w:sz w:val="32"/>
      <w:szCs w:val="32"/>
    </w:rPr>
  </w:style>
  <w:style w:type="character" w:styleId="InternetLink">
    <w:name w:val="Internet Link"/>
    <w:basedOn w:val="DefaultParagraphFont"/>
    <w:uiPriority w:val="99"/>
    <w:unhideWhenUsed/>
    <w:rsid w:val="00c92347"/>
    <w:rPr>
      <w:color w:val="0563C1" w:themeColor="hyperlink"/>
      <w:u w:val="single"/>
    </w:rPr>
  </w:style>
  <w:style w:type="character" w:styleId="NoSpacingChar" w:customStyle="1">
    <w:name w:val="No Spacing Char"/>
    <w:basedOn w:val="DefaultParagraphFont"/>
    <w:link w:val="NoSpacing"/>
    <w:uiPriority w:val="1"/>
    <w:qFormat/>
    <w:rsid w:val="002e2dfd"/>
    <w:rPr>
      <w:lang w:val="en-US" w:eastAsia="en-US"/>
    </w:rPr>
  </w:style>
  <w:style w:type="character" w:styleId="IndexLink">
    <w:name w:val="Index Link"/>
    <w:qFormat/>
    <w:rPr/>
  </w:style>
  <w:style w:type="character" w:styleId="Appleconvertedspace">
    <w:name w:val="apple-converted-space"/>
    <w:basedOn w:val="DefaultParagraphFont"/>
    <w:qFormat/>
    <w:rPr/>
  </w:style>
  <w:style w:type="paragraph" w:styleId="Heading">
    <w:name w:val="Heading"/>
    <w:basedOn w:val="Normal"/>
    <w:next w:val="TextBody"/>
    <w:qFormat/>
    <w:pPr>
      <w:keepNext/>
      <w:spacing w:before="240" w:after="120"/>
    </w:pPr>
    <w:rPr>
      <w:rFonts w:ascii="Liberation Sans" w:hAnsi="Liberation Sans" w:eastAsia="Noto Sans CJK SC Regular" w:cs="FreeSans"/>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TOCHeading">
    <w:name w:val="TOC Heading"/>
    <w:basedOn w:val="Heading1"/>
    <w:next w:val="Normal"/>
    <w:uiPriority w:val="39"/>
    <w:unhideWhenUsed/>
    <w:qFormat/>
    <w:rsid w:val="00c92347"/>
    <w:pPr/>
    <w:rPr>
      <w:lang w:val="en-US" w:eastAsia="en-US"/>
    </w:rPr>
  </w:style>
  <w:style w:type="paragraph" w:styleId="Contents1">
    <w:name w:val="TOC 1"/>
    <w:basedOn w:val="Normal"/>
    <w:next w:val="Normal"/>
    <w:autoRedefine/>
    <w:uiPriority w:val="39"/>
    <w:unhideWhenUsed/>
    <w:rsid w:val="00c92347"/>
    <w:pPr>
      <w:spacing w:before="0" w:after="100"/>
    </w:pPr>
    <w:rPr/>
  </w:style>
  <w:style w:type="paragraph" w:styleId="Contents2">
    <w:name w:val="TOC 2"/>
    <w:basedOn w:val="Normal"/>
    <w:next w:val="Normal"/>
    <w:autoRedefine/>
    <w:uiPriority w:val="39"/>
    <w:unhideWhenUsed/>
    <w:rsid w:val="00c92347"/>
    <w:pPr>
      <w:spacing w:before="0" w:after="100"/>
      <w:ind w:left="220" w:hanging="0"/>
    </w:pPr>
    <w:rPr>
      <w:rFonts w:cs="Times New Roman"/>
      <w:lang w:val="en-US" w:eastAsia="en-US"/>
    </w:rPr>
  </w:style>
  <w:style w:type="paragraph" w:styleId="Contents3">
    <w:name w:val="TOC 3"/>
    <w:basedOn w:val="Normal"/>
    <w:next w:val="Normal"/>
    <w:autoRedefine/>
    <w:uiPriority w:val="39"/>
    <w:unhideWhenUsed/>
    <w:rsid w:val="00c92347"/>
    <w:pPr>
      <w:spacing w:before="0" w:after="100"/>
      <w:ind w:left="440" w:hanging="0"/>
    </w:pPr>
    <w:rPr>
      <w:rFonts w:cs="Times New Roman"/>
      <w:lang w:val="en-US" w:eastAsia="en-US"/>
    </w:rPr>
  </w:style>
  <w:style w:type="paragraph" w:styleId="NoSpacing">
    <w:name w:val="No Spacing"/>
    <w:link w:val="NoSpacingChar"/>
    <w:uiPriority w:val="1"/>
    <w:qFormat/>
    <w:rsid w:val="002e2dfd"/>
    <w:pPr>
      <w:widowControl/>
      <w:bidi w:val="0"/>
      <w:spacing w:lineRule="auto" w:line="240" w:before="0" w:after="0"/>
      <w:jc w:val="left"/>
    </w:pPr>
    <w:rPr>
      <w:rFonts w:ascii="Calibri" w:hAnsi="Calibri" w:eastAsia="宋体" w:cs="" w:asciiTheme="minorHAnsi" w:cstheme="minorBidi" w:eastAsiaTheme="minorEastAsia" w:hAnsiTheme="minorHAnsi"/>
      <w:color w:val="00000A"/>
      <w:sz w:val="22"/>
      <w:szCs w:val="22"/>
      <w:lang w:val="en-US" w:eastAsia="en-US" w:bidi="ar-SA"/>
    </w:rPr>
  </w:style>
  <w:style w:type="paragraph" w:styleId="FrameContents">
    <w:name w:val="Frame Contents"/>
    <w:basedOn w:val="Normal"/>
    <w:qFormat/>
    <w:pPr/>
    <w:rPr/>
  </w:style>
  <w:style w:type="paragraph" w:styleId="TableContents">
    <w:name w:val="Table Contents"/>
    <w:basedOn w:val="Normal"/>
    <w:qFormat/>
    <w:pPr/>
    <w:rPr/>
  </w:style>
  <w:style w:type="paragraph" w:styleId="TableHeading">
    <w:name w:val="Table Heading"/>
    <w:basedOn w:val="TableContents"/>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b96114"/>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GridTable1Light-Accent1">
    <w:name w:val="Grid Table 1 Light Accent 1"/>
    <w:basedOn w:val="TableNormal"/>
    <w:uiPriority w:val="46"/>
    <w:rsid w:val="00b96114"/>
    <w:pPr>
      <w:spacing w:after="0" w:line="240" w:lineRule="auto"/>
    </w:pPr>
    <w:tblPr>
      <w:tblStyleRowBandSize w:val="1"/>
      <w:tblStyleColBandSize w:val="1"/>
      <w:tblInd w:w="0" w:type="dxa"/>
      <w:tblBorders>
        <w:top w:val="single" w:color="BDD6EE" w:themeColor="accent1" w:themeTint="66" w:sz="4" w:space="0"/>
        <w:left w:val="single" w:color="BDD6EE" w:themeColor="accent1" w:themeTint="66" w:sz="4" w:space="0"/>
        <w:bottom w:val="single" w:color="BDD6EE" w:themeColor="accent1" w:themeTint="66" w:sz="4" w:space="0"/>
        <w:right w:val="single" w:color="BDD6EE" w:themeColor="accent1" w:themeTint="66" w:sz="4" w:space="0"/>
        <w:insideH w:val="single" w:color="BDD6EE" w:themeColor="accent1" w:themeTint="66" w:sz="4" w:space="0"/>
        <w:insideV w:val="single" w:color="BDD6EE" w:themeColor="accent1" w:themeTint="66" w:sz="4" w:space="0"/>
      </w:tblBorders>
      <w:tblCellMar>
        <w:top w:w="0" w:type="dxa"/>
        <w:left w:w="108" w:type="dxa"/>
        <w:bottom w:w="0" w:type="dxa"/>
        <w:right w:w="108" w:type="dxa"/>
      </w:tblCellMar>
    </w:tblPr>
    <w:tblStylePr w:type="firstRow">
      <w:rPr>
        <w:b/>
        <w:bCs/>
      </w:rPr>
      <w:tblPr/>
      <w:tcPr>
        <w:tcBorders>
          <w:bottom w:val="single" w:color="9CC2E5" w:themeColor="accent1" w:sz="12" w:space="0"/>
        </w:tcBorders>
      </w:tcPr>
    </w:tblStylePr>
    <w:tblStylePr w:type="lastRow">
      <w:rPr>
        <w:b/>
        <w:bCs/>
      </w:rPr>
      <w:tblPr/>
      <w:tcPr>
        <w:tcBorders>
          <w:top w:val="double" w:color="9CC2E5" w:themeColor="accent1" w:sz="2" w:space="0"/>
        </w:tcBorders>
      </w:tcPr>
    </w:tblStylePr>
    <w:tblStylePr w:type="firstCol">
      <w:rPr>
        <w:b/>
        <w:bCs/>
      </w:rPr>
      <w:tblPr/>
    </w:tblStylePr>
    <w:tblStylePr w:type="lastCol">
      <w:rPr>
        <w:b/>
        <w:bCs/>
      </w:rPr>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chart" Target="charts/chart1.xml"/><Relationship Id="rId5" Type="http://schemas.openxmlformats.org/officeDocument/2006/relationships/chart" Target="charts/chart2.xml"/><Relationship Id="rId6" Type="http://schemas.openxmlformats.org/officeDocument/2006/relationships/chart" Target="charts/chart3.xml"/><Relationship Id="rId7" Type="http://schemas.openxmlformats.org/officeDocument/2006/relationships/hyperlink" Target="" TargetMode="Externa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glossaryDocument" Target="glossary/document.xml"/><Relationship Id="rId12" Type="http://schemas.openxmlformats.org/officeDocument/2006/relationships/customXml" Target="../customXml/item1.xml"/><Relationship Id="rId13" Type="http://schemas.openxmlformats.org/officeDocument/2006/relationships/customXml" Target="../customXml/item2.xml"/>
</Relationships>
</file>

<file path=word/charts/_rels/chart1.xml.rels><?xml version="1.0" encoding="UTF-8"?>
<Relationships xmlns="http://schemas.openxmlformats.org/package/2006/relationships"><Relationship Id="rId1" Type="http://schemas.openxmlformats.org/officeDocument/2006/relationships/package" Target="../embeddings/Microsoft_Excel_Worksheet2.xlsx"/>
</Relationships>
</file>

<file path=word/charts/_rels/chart2.xml.rels><?xml version="1.0" encoding="UTF-8"?>
<Relationships xmlns="http://schemas.openxmlformats.org/package/2006/relationships"><Relationship Id="rId1" Type="http://schemas.openxmlformats.org/officeDocument/2006/relationships/package" Target="../embeddings/Microsoft_Excel_Worksheet4.xlsx"/>
</Relationships>
</file>

<file path=word/charts/_rels/chart3.xml.rels><?xml version="1.0" encoding="UTF-8"?>
<Relationships xmlns="http://schemas.openxmlformats.org/package/2006/relationships"><Relationship Id="rId1" Type="http://schemas.openxmlformats.org/officeDocument/2006/relationships/package" Target="../embeddings/Microsoft_Excel_Worksheet5.xlsx"/>
</Relationships>
</file>

<file path=word/charts/chart1.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sz="1600" spc="-1" strike="noStrike">
                <a:solidFill>
                  <a:srgbClr val="000000"/>
                </a:solidFill>
                <a:uFill>
                  <a:solidFill>
                    <a:srgbClr val="ffffff"/>
                  </a:solidFill>
                </a:uFill>
                <a:latin typeface="Calibri"/>
              </a:defRPr>
            </a:pPr>
            <a:r>
              <a:rPr b="0" sz="1600" spc="-1" strike="noStrike">
                <a:solidFill>
                  <a:srgbClr val="000000"/>
                </a:solidFill>
                <a:uFill>
                  <a:solidFill>
                    <a:srgbClr val="ffffff"/>
                  </a:solidFill>
                </a:uFill>
                <a:latin typeface="Calibri"/>
              </a:rPr>
              <a:t>Metro-Info Users by Age Group</a:t>
            </a:r>
          </a:p>
        </c:rich>
      </c:tx>
      <c:overlay val="0"/>
    </c:title>
    <c:autoTitleDeleted val="0"/>
    <c:view3D>
      <c:rotX val="30"/>
      <c:rotY val="0"/>
      <c:rAngAx val="0"/>
      <c:perspective val="10"/>
    </c:view3D>
    <c:floor>
      <c:spPr>
        <a:solidFill>
          <a:srgbClr val="d9d9d9"/>
        </a:solidFill>
        <a:ln>
          <a:noFill/>
        </a:ln>
      </c:spPr>
    </c:floor>
    <c:backWall>
      <c:spPr>
        <a:solidFill>
          <a:srgbClr val="ffffff"/>
        </a:solidFill>
        <a:ln>
          <a:noFill/>
        </a:ln>
      </c:spPr>
    </c:backWall>
    <c:plotArea>
      <c:pie3DChart>
        <c:varyColors val="1"/>
        <c:ser>
          <c:idx val="0"/>
          <c:order val="0"/>
          <c:tx>
            <c:strRef>
              <c:f>label 0</c:f>
              <c:strCache>
                <c:ptCount val="1"/>
                <c:pt idx="0">
                  <c:v>Metro-Info users by age group</c:v>
                </c:pt>
              </c:strCache>
            </c:strRef>
          </c:tx>
          <c:spPr>
            <a:solidFill>
              <a:srgbClr val="4f81bd"/>
            </a:solidFill>
            <a:ln>
              <a:noFill/>
            </a:ln>
          </c:spPr>
          <c:explosion val="0"/>
          <c:dPt>
            <c:idx val="0"/>
            <c:spPr>
              <a:solidFill>
                <a:srgbClr val="4672a8"/>
              </a:solidFill>
              <a:ln>
                <a:noFill/>
              </a:ln>
            </c:spPr>
          </c:dPt>
          <c:dPt>
            <c:idx val="1"/>
            <c:spPr>
              <a:solidFill>
                <a:srgbClr val="ab4744"/>
              </a:solidFill>
              <a:ln>
                <a:noFill/>
              </a:ln>
            </c:spPr>
          </c:dPt>
          <c:dPt>
            <c:idx val="2"/>
            <c:spPr>
              <a:solidFill>
                <a:srgbClr val="8aa64f"/>
              </a:solidFill>
              <a:ln>
                <a:noFill/>
              </a:ln>
            </c:spPr>
          </c:dPt>
          <c:dPt>
            <c:idx val="3"/>
            <c:spPr>
              <a:solidFill>
                <a:srgbClr val="725990"/>
              </a:solidFill>
              <a:ln>
                <a:noFill/>
              </a:ln>
            </c:spPr>
          </c:dPt>
          <c:dPt>
            <c:idx val="4"/>
            <c:spPr>
              <a:solidFill>
                <a:srgbClr val="4299b0"/>
              </a:solidFill>
              <a:ln>
                <a:noFill/>
              </a:ln>
            </c:spPr>
          </c:dPt>
          <c:dPt>
            <c:idx val="5"/>
            <c:spPr>
              <a:solidFill>
                <a:srgbClr val="dc853e"/>
              </a:solidFill>
              <a:ln>
                <a:noFill/>
              </a:ln>
            </c:spPr>
          </c:dPt>
          <c:dPt>
            <c:idx val="6"/>
            <c:spPr>
              <a:solidFill>
                <a:srgbClr val="93a9ce"/>
              </a:solidFill>
              <a:ln>
                <a:noFill/>
              </a:ln>
            </c:spPr>
          </c:dPt>
          <c:dPt>
            <c:idx val="7"/>
            <c:spPr>
              <a:solidFill>
                <a:srgbClr val="aecf00"/>
              </a:solidFill>
              <a:ln w="4124252160">
                <a:noFill/>
              </a:ln>
            </c:spPr>
          </c:dPt>
          <c:dLbls>
            <c:dLbl>
              <c:idx val="0"/>
              <c:showLegendKey val="0"/>
              <c:showVal val="0"/>
              <c:showCatName val="0"/>
              <c:showSerName val="0"/>
              <c:showPercent val="0"/>
            </c:dLbl>
            <c:dLbl>
              <c:idx val="1"/>
              <c:showLegendKey val="0"/>
              <c:showVal val="0"/>
              <c:showCatName val="0"/>
              <c:showSerName val="0"/>
              <c:showPercent val="0"/>
            </c:dLbl>
            <c:dLbl>
              <c:idx val="2"/>
              <c:showLegendKey val="0"/>
              <c:showVal val="0"/>
              <c:showCatName val="0"/>
              <c:showSerName val="0"/>
              <c:showPercent val="0"/>
            </c:dLbl>
            <c:dLbl>
              <c:idx val="3"/>
              <c:showLegendKey val="0"/>
              <c:showVal val="0"/>
              <c:showCatName val="0"/>
              <c:showSerName val="0"/>
              <c:showPercent val="0"/>
            </c:dLbl>
            <c:dLbl>
              <c:idx val="4"/>
              <c:showLegendKey val="0"/>
              <c:showVal val="0"/>
              <c:showCatName val="0"/>
              <c:showSerName val="0"/>
              <c:showPercent val="0"/>
            </c:dLbl>
            <c:dLbl>
              <c:idx val="5"/>
              <c:showLegendKey val="0"/>
              <c:showVal val="0"/>
              <c:showCatName val="0"/>
              <c:showSerName val="0"/>
              <c:showPercent val="0"/>
            </c:dLbl>
            <c:dLbl>
              <c:idx val="6"/>
              <c:showLegendKey val="0"/>
              <c:showVal val="0"/>
              <c:showCatName val="0"/>
              <c:showSerName val="0"/>
              <c:showPercent val="0"/>
            </c:dLbl>
            <c:showLegendKey val="0"/>
            <c:showVal val="0"/>
            <c:showCatName val="0"/>
            <c:showSerName val="0"/>
            <c:showPercent val="0"/>
            <c:showLeaderLines val="0"/>
          </c:dLbls>
          <c:cat>
            <c:strRef>
              <c:f>categories</c:f>
              <c:strCache>
                <c:ptCount val="8"/>
                <c:pt idx="0">
                  <c:v>Under 15 years</c:v>
                </c:pt>
                <c:pt idx="1">
                  <c:v>15 to 20 years </c:v>
                </c:pt>
                <c:pt idx="2">
                  <c:v>21 to 30 years </c:v>
                </c:pt>
                <c:pt idx="3">
                  <c:v>31 to 40 years </c:v>
                </c:pt>
                <c:pt idx="4">
                  <c:v>41 to 50 years </c:v>
                </c:pt>
                <c:pt idx="5">
                  <c:v>51 to 60 years </c:v>
                </c:pt>
                <c:pt idx="6">
                  <c:v>61 to 70 years </c:v>
                </c:pt>
                <c:pt idx="7">
                  <c:v>Over 70 years</c:v>
                </c:pt>
              </c:strCache>
            </c:strRef>
          </c:cat>
          <c:val>
            <c:numRef>
              <c:f>0</c:f>
              <c:numCache>
                <c:formatCode>General</c:formatCode>
                <c:ptCount val="8"/>
                <c:pt idx="0">
                  <c:v>0</c:v>
                </c:pt>
                <c:pt idx="1">
                  <c:v>1.5</c:v>
                </c:pt>
                <c:pt idx="2">
                  <c:v>12</c:v>
                </c:pt>
                <c:pt idx="3">
                  <c:v>18.8</c:v>
                </c:pt>
                <c:pt idx="4">
                  <c:v>24.1</c:v>
                </c:pt>
                <c:pt idx="5">
                  <c:v>29.3</c:v>
                </c:pt>
                <c:pt idx="6">
                  <c:v>12</c:v>
                </c:pt>
                <c:pt idx="7">
                  <c:v>2.3</c:v>
                </c:pt>
              </c:numCache>
            </c:numRef>
          </c:val>
        </c:ser>
      </c:pie3DChart>
      <c:spPr>
        <a:solidFill>
          <a:srgbClr val="ffffff"/>
        </a:solidFill>
        <a:ln>
          <a:noFill/>
        </a:ln>
      </c:spPr>
    </c:plotArea>
    <c:legend>
      <c:legendPos val="r"/>
      <c:overlay val="0"/>
      <c:spPr>
        <a:noFill/>
        <a:ln>
          <a:noFill/>
        </a:ln>
      </c:spPr>
    </c:legend>
    <c:plotVisOnly val="1"/>
  </c:chart>
  <c:spPr>
    <a:solidFill>
      <a:srgbClr val="ffffff"/>
    </a:solidFill>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sz="1600" spc="-1" strike="noStrike">
                <a:solidFill>
                  <a:srgbClr val="000000"/>
                </a:solidFill>
                <a:uFill>
                  <a:solidFill>
                    <a:srgbClr val="ffffff"/>
                  </a:solidFill>
                </a:uFill>
                <a:latin typeface="Calibri"/>
              </a:defRPr>
            </a:pPr>
            <a:r>
              <a:rPr b="0" sz="1600" spc="-1" strike="noStrike">
                <a:solidFill>
                  <a:srgbClr val="000000"/>
                </a:solidFill>
                <a:uFill>
                  <a:solidFill>
                    <a:srgbClr val="ffffff"/>
                  </a:solidFill>
                </a:uFill>
                <a:latin typeface="Calibri"/>
              </a:rPr>
              <a:t>In-person Enquiries Including for Metro-Info </a:t>
            </a:r>
          </a:p>
        </c:rich>
      </c:tx>
      <c:overlay val="0"/>
    </c:title>
    <c:autoTitleDeleted val="0"/>
    <c:plotArea>
      <c:barChart>
        <c:barDir val="col"/>
        <c:grouping val="clustered"/>
        <c:varyColors val="0"/>
        <c:ser>
          <c:idx val="0"/>
          <c:order val="0"/>
          <c:tx>
            <c:strRef>
              <c:f>label 0</c:f>
              <c:strCache>
                <c:ptCount val="1"/>
                <c:pt idx="0">
                  <c:v>Metro-Info</c:v>
                </c:pt>
              </c:strCache>
            </c:strRef>
          </c:tx>
          <c:spPr>
            <a:solidFill>
              <a:srgbClr val="4f81bd"/>
            </a:solidFill>
            <a:ln>
              <a:noFill/>
            </a:ln>
          </c:spPr>
          <c:invertIfNegative val="0"/>
          <c:dLbls>
            <c:dLblPos val="outEnd"/>
            <c:showLegendKey val="0"/>
            <c:showVal val="0"/>
            <c:showCatName val="0"/>
            <c:showSerName val="0"/>
            <c:showPercent val="0"/>
            <c:showLeaderLines val="0"/>
          </c:dLbls>
          <c:cat>
            <c:strRef>
              <c:f>categories</c:f>
              <c:strCache>
                <c:ptCount val="3"/>
                <c:pt idx="0">
                  <c:v>2014-2016</c:v>
                </c:pt>
                <c:pt idx="1">
                  <c:v>2014-2015</c:v>
                </c:pt>
                <c:pt idx="2">
                  <c:v>2013-2014</c:v>
                </c:pt>
              </c:strCache>
            </c:strRef>
          </c:cat>
          <c:val>
            <c:numRef>
              <c:f>0</c:f>
              <c:numCache>
                <c:formatCode>General</c:formatCode>
                <c:ptCount val="3"/>
                <c:pt idx="0">
                  <c:v>23</c:v>
                </c:pt>
                <c:pt idx="1">
                  <c:v>26</c:v>
                </c:pt>
                <c:pt idx="2">
                  <c:v>28</c:v>
                </c:pt>
              </c:numCache>
            </c:numRef>
          </c:val>
        </c:ser>
        <c:ser>
          <c:idx val="1"/>
          <c:order val="1"/>
          <c:tx>
            <c:strRef>
              <c:f>label 1</c:f>
              <c:strCache>
                <c:ptCount val="1"/>
                <c:pt idx="0">
                  <c:v>Local History</c:v>
                </c:pt>
              </c:strCache>
            </c:strRef>
          </c:tx>
          <c:spPr>
            <a:solidFill>
              <a:srgbClr val="c0504d"/>
            </a:solidFill>
            <a:ln>
              <a:noFill/>
            </a:ln>
          </c:spPr>
          <c:invertIfNegative val="0"/>
          <c:dLbls>
            <c:dLblPos val="outEnd"/>
            <c:showLegendKey val="0"/>
            <c:showVal val="0"/>
            <c:showCatName val="0"/>
            <c:showSerName val="0"/>
            <c:showPercent val="0"/>
            <c:showLeaderLines val="0"/>
          </c:dLbls>
          <c:cat>
            <c:strRef>
              <c:f>categories</c:f>
              <c:strCache>
                <c:ptCount val="3"/>
                <c:pt idx="0">
                  <c:v>2014-2016</c:v>
                </c:pt>
                <c:pt idx="1">
                  <c:v>2014-2015</c:v>
                </c:pt>
                <c:pt idx="2">
                  <c:v>2013-2014</c:v>
                </c:pt>
              </c:strCache>
            </c:strRef>
          </c:cat>
          <c:val>
            <c:numRef>
              <c:f>1</c:f>
              <c:numCache>
                <c:formatCode>General</c:formatCode>
                <c:ptCount val="3"/>
                <c:pt idx="0">
                  <c:v>10</c:v>
                </c:pt>
                <c:pt idx="1">
                  <c:v>9</c:v>
                </c:pt>
                <c:pt idx="2">
                  <c:v>10</c:v>
                </c:pt>
              </c:numCache>
            </c:numRef>
          </c:val>
        </c:ser>
        <c:ser>
          <c:idx val="2"/>
          <c:order val="2"/>
          <c:tx>
            <c:strRef>
              <c:f>label 2</c:f>
              <c:strCache>
                <c:ptCount val="1"/>
                <c:pt idx="0">
                  <c:v>General Library</c:v>
                </c:pt>
              </c:strCache>
            </c:strRef>
          </c:tx>
          <c:spPr>
            <a:solidFill>
              <a:srgbClr val="9bbb59"/>
            </a:solidFill>
            <a:ln>
              <a:noFill/>
            </a:ln>
          </c:spPr>
          <c:invertIfNegative val="0"/>
          <c:dLbls>
            <c:dLblPos val="outEnd"/>
            <c:showLegendKey val="0"/>
            <c:showVal val="0"/>
            <c:showCatName val="0"/>
            <c:showSerName val="0"/>
            <c:showPercent val="0"/>
            <c:showLeaderLines val="0"/>
          </c:dLbls>
          <c:cat>
            <c:strRef>
              <c:f>categories</c:f>
              <c:strCache>
                <c:ptCount val="3"/>
                <c:pt idx="0">
                  <c:v>2014-2016</c:v>
                </c:pt>
                <c:pt idx="1">
                  <c:v>2014-2015</c:v>
                </c:pt>
                <c:pt idx="2">
                  <c:v>2013-2014</c:v>
                </c:pt>
              </c:strCache>
            </c:strRef>
          </c:cat>
          <c:val>
            <c:numRef>
              <c:f>2</c:f>
              <c:numCache>
                <c:formatCode>General</c:formatCode>
                <c:ptCount val="3"/>
                <c:pt idx="0">
                  <c:v>67</c:v>
                </c:pt>
                <c:pt idx="1">
                  <c:v>65</c:v>
                </c:pt>
                <c:pt idx="2">
                  <c:v>62</c:v>
                </c:pt>
              </c:numCache>
            </c:numRef>
          </c:val>
        </c:ser>
        <c:gapWidth val="219"/>
        <c:overlap val="-27"/>
        <c:axId val="81003225"/>
        <c:axId val="37660391"/>
      </c:barChart>
      <c:catAx>
        <c:axId val="81003225"/>
        <c:scaling>
          <c:orientation val="minMax"/>
        </c:scaling>
        <c:delete val="0"/>
        <c:axPos val="b"/>
        <c:numFmt formatCode="DD/MM/YYYY" sourceLinked="0"/>
        <c:majorTickMark val="none"/>
        <c:minorTickMark val="none"/>
        <c:tickLblPos val="nextTo"/>
        <c:spPr>
          <a:ln w="9360">
            <a:solidFill>
              <a:srgbClr val="d9d9d9"/>
            </a:solidFill>
            <a:round/>
          </a:ln>
        </c:spPr>
        <c:txPr>
          <a:bodyPr/>
          <a:p>
            <a:pPr>
              <a:defRPr b="0" sz="900" spc="-1" strike="noStrike">
                <a:solidFill>
                  <a:srgbClr val="595959"/>
                </a:solidFill>
                <a:uFill>
                  <a:solidFill>
                    <a:srgbClr val="ffffff"/>
                  </a:solidFill>
                </a:uFill>
                <a:latin typeface="Calibri"/>
              </a:defRPr>
            </a:pPr>
          </a:p>
        </c:txPr>
        <c:crossAx val="37660391"/>
        <c:crosses val="autoZero"/>
        <c:auto val="1"/>
        <c:lblAlgn val="ctr"/>
        <c:lblOffset val="100"/>
      </c:catAx>
      <c:valAx>
        <c:axId val="37660391"/>
        <c:scaling>
          <c:orientation val="minMax"/>
        </c:scaling>
        <c:delete val="0"/>
        <c:axPos val="l"/>
        <c:majorGridlines>
          <c:spPr>
            <a:ln w="9360">
              <a:solidFill>
                <a:srgbClr val="d9d9d9"/>
              </a:solidFill>
              <a:round/>
            </a:ln>
          </c:spPr>
        </c:majorGridlines>
        <c:numFmt formatCode="General" sourceLinked="0"/>
        <c:majorTickMark val="none"/>
        <c:minorTickMark val="none"/>
        <c:tickLblPos val="nextTo"/>
        <c:spPr>
          <a:ln w="9360">
            <a:noFill/>
          </a:ln>
        </c:spPr>
        <c:txPr>
          <a:bodyPr/>
          <a:p>
            <a:pPr>
              <a:defRPr b="0" sz="900" spc="-1" strike="noStrike">
                <a:solidFill>
                  <a:srgbClr val="595959"/>
                </a:solidFill>
                <a:uFill>
                  <a:solidFill>
                    <a:srgbClr val="ffffff"/>
                  </a:solidFill>
                </a:uFill>
                <a:latin typeface="Calibri"/>
              </a:defRPr>
            </a:pPr>
          </a:p>
        </c:txPr>
        <c:crossAx val="81003225"/>
        <c:crosses val="autoZero"/>
        <c:crossBetween val="midCat"/>
      </c:valAx>
      <c:spPr>
        <a:noFill/>
        <a:ln>
          <a:noFill/>
        </a:ln>
      </c:spPr>
    </c:plotArea>
    <c:legend>
      <c:legendPos val="b"/>
      <c:overlay val="0"/>
      <c:spPr>
        <a:noFill/>
        <a:ln>
          <a:noFill/>
        </a:ln>
      </c:spPr>
    </c:legend>
    <c:plotVisOnly val="1"/>
    <c:dispBlanksAs val="gap"/>
  </c:chart>
  <c:spPr>
    <a:solidFill>
      <a:srgbClr val="ffffff"/>
    </a:solidFill>
    <a:ln w="9360">
      <a:solidFill>
        <a:srgbClr val="d9d9d9"/>
      </a:solidFill>
      <a:round/>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sz="1600" spc="-1" strike="noStrike">
                <a:solidFill>
                  <a:srgbClr val="000000"/>
                </a:solidFill>
                <a:uFill>
                  <a:solidFill>
                    <a:srgbClr val="ffffff"/>
                  </a:solidFill>
                </a:uFill>
                <a:latin typeface="Calibri"/>
              </a:defRPr>
            </a:pPr>
            <a:r>
              <a:rPr b="0" sz="1600" spc="-1" strike="noStrike">
                <a:solidFill>
                  <a:srgbClr val="000000"/>
                </a:solidFill>
                <a:uFill>
                  <a:solidFill>
                    <a:srgbClr val="ffffff"/>
                  </a:solidFill>
                </a:uFill>
                <a:latin typeface="Calibri"/>
              </a:rPr>
              <a:t>Online Enquiries Including for Metro-Info</a:t>
            </a:r>
          </a:p>
        </c:rich>
      </c:tx>
      <c:overlay val="0"/>
    </c:title>
    <c:autoTitleDeleted val="0"/>
    <c:plotArea>
      <c:barChart>
        <c:barDir val="col"/>
        <c:grouping val="clustered"/>
        <c:varyColors val="0"/>
        <c:ser>
          <c:idx val="0"/>
          <c:order val="0"/>
          <c:tx>
            <c:strRef>
              <c:f>label 0</c:f>
              <c:strCache>
                <c:ptCount val="1"/>
                <c:pt idx="0">
                  <c:v>Downloads</c:v>
                </c:pt>
              </c:strCache>
            </c:strRef>
          </c:tx>
          <c:spPr>
            <a:solidFill>
              <a:srgbClr val="83caff"/>
            </a:solidFill>
            <a:ln>
              <a:noFill/>
            </a:ln>
          </c:spPr>
          <c:invertIfNegative val="0"/>
          <c:dLbls>
            <c:showLegendKey val="0"/>
            <c:showVal val="0"/>
            <c:showCatName val="0"/>
            <c:showSerName val="0"/>
            <c:showPercent val="0"/>
            <c:showLeaderLines val="0"/>
          </c:dLbls>
          <c:cat>
            <c:strRef>
              <c:f>categories</c:f>
              <c:strCache>
                <c:ptCount val="3"/>
                <c:pt idx="0">
                  <c:v>2015-2016</c:v>
                </c:pt>
                <c:pt idx="1">
                  <c:v>2014-2015</c:v>
                </c:pt>
                <c:pt idx="2">
                  <c:v>2013-2014</c:v>
                </c:pt>
              </c:strCache>
            </c:strRef>
          </c:cat>
          <c:val>
            <c:numRef>
              <c:f>0</c:f>
              <c:numCache>
                <c:formatCode>General</c:formatCode>
                <c:ptCount val="3"/>
                <c:pt idx="0">
                  <c:v>0</c:v>
                </c:pt>
                <c:pt idx="1">
                  <c:v>0</c:v>
                </c:pt>
                <c:pt idx="2">
                  <c:v>0</c:v>
                </c:pt>
              </c:numCache>
            </c:numRef>
          </c:val>
        </c:ser>
        <c:ser>
          <c:idx val="1"/>
          <c:order val="1"/>
          <c:tx>
            <c:strRef>
              <c:f>label 1</c:f>
              <c:strCache>
                <c:ptCount val="1"/>
                <c:pt idx="0">
                  <c:v>Metro-Info</c:v>
                </c:pt>
              </c:strCache>
            </c:strRef>
          </c:tx>
          <c:spPr>
            <a:solidFill>
              <a:srgbClr val="4f81bd"/>
            </a:solidFill>
            <a:ln>
              <a:noFill/>
            </a:ln>
          </c:spPr>
          <c:invertIfNegative val="0"/>
          <c:dLbls>
            <c:dLblPos val="outEnd"/>
            <c:showLegendKey val="0"/>
            <c:showVal val="0"/>
            <c:showCatName val="0"/>
            <c:showSerName val="0"/>
            <c:showPercent val="0"/>
            <c:showLeaderLines val="0"/>
          </c:dLbls>
          <c:cat>
            <c:strRef>
              <c:f>categories</c:f>
              <c:strCache>
                <c:ptCount val="3"/>
                <c:pt idx="0">
                  <c:v>2015-2016</c:v>
                </c:pt>
                <c:pt idx="1">
                  <c:v>2014-2015</c:v>
                </c:pt>
                <c:pt idx="2">
                  <c:v>2013-2014</c:v>
                </c:pt>
              </c:strCache>
            </c:strRef>
          </c:cat>
          <c:val>
            <c:numRef>
              <c:f>1</c:f>
              <c:numCache>
                <c:formatCode>General</c:formatCode>
                <c:ptCount val="3"/>
                <c:pt idx="0">
                  <c:v>31</c:v>
                </c:pt>
                <c:pt idx="1">
                  <c:v>29</c:v>
                </c:pt>
                <c:pt idx="2">
                  <c:v>21</c:v>
                </c:pt>
              </c:numCache>
            </c:numRef>
          </c:val>
        </c:ser>
        <c:ser>
          <c:idx val="2"/>
          <c:order val="2"/>
          <c:tx>
            <c:strRef>
              <c:f>label 2</c:f>
              <c:strCache>
                <c:ptCount val="1"/>
                <c:pt idx="0">
                  <c:v>Catalogue</c:v>
                </c:pt>
              </c:strCache>
            </c:strRef>
          </c:tx>
          <c:spPr>
            <a:solidFill>
              <a:srgbClr val="c0504d"/>
            </a:solidFill>
            <a:ln>
              <a:noFill/>
            </a:ln>
          </c:spPr>
          <c:invertIfNegative val="0"/>
          <c:dLbls>
            <c:dLblPos val="outEnd"/>
            <c:showLegendKey val="0"/>
            <c:showVal val="0"/>
            <c:showCatName val="0"/>
            <c:showSerName val="0"/>
            <c:showPercent val="0"/>
            <c:showLeaderLines val="0"/>
          </c:dLbls>
          <c:cat>
            <c:strRef>
              <c:f>categories</c:f>
              <c:strCache>
                <c:ptCount val="3"/>
                <c:pt idx="0">
                  <c:v>2015-2016</c:v>
                </c:pt>
                <c:pt idx="1">
                  <c:v>2014-2015</c:v>
                </c:pt>
                <c:pt idx="2">
                  <c:v>2013-2014</c:v>
                </c:pt>
              </c:strCache>
            </c:strRef>
          </c:cat>
          <c:val>
            <c:numRef>
              <c:f>2</c:f>
              <c:numCache>
                <c:formatCode>General</c:formatCode>
                <c:ptCount val="3"/>
                <c:pt idx="0">
                  <c:v>22</c:v>
                </c:pt>
                <c:pt idx="1">
                  <c:v>29</c:v>
                </c:pt>
                <c:pt idx="2">
                  <c:v>38</c:v>
                </c:pt>
              </c:numCache>
            </c:numRef>
          </c:val>
        </c:ser>
        <c:ser>
          <c:idx val="3"/>
          <c:order val="3"/>
          <c:tx>
            <c:strRef>
              <c:f>label 3</c:f>
              <c:strCache>
                <c:ptCount val="1"/>
                <c:pt idx="0">
                  <c:v>Library</c:v>
                </c:pt>
              </c:strCache>
            </c:strRef>
          </c:tx>
          <c:spPr>
            <a:solidFill>
              <a:srgbClr val="9bbb59"/>
            </a:solidFill>
            <a:ln>
              <a:noFill/>
            </a:ln>
          </c:spPr>
          <c:invertIfNegative val="0"/>
          <c:dLbls>
            <c:dLblPos val="outEnd"/>
            <c:showLegendKey val="0"/>
            <c:showVal val="0"/>
            <c:showCatName val="0"/>
            <c:showSerName val="0"/>
            <c:showPercent val="0"/>
            <c:showLeaderLines val="0"/>
          </c:dLbls>
          <c:cat>
            <c:strRef>
              <c:f>categories</c:f>
              <c:strCache>
                <c:ptCount val="3"/>
                <c:pt idx="0">
                  <c:v>2015-2016</c:v>
                </c:pt>
                <c:pt idx="1">
                  <c:v>2014-2015</c:v>
                </c:pt>
                <c:pt idx="2">
                  <c:v>2013-2014</c:v>
                </c:pt>
              </c:strCache>
            </c:strRef>
          </c:cat>
          <c:val>
            <c:numRef>
              <c:f>3</c:f>
              <c:numCache>
                <c:formatCode>General</c:formatCode>
                <c:ptCount val="3"/>
                <c:pt idx="0">
                  <c:v>32</c:v>
                </c:pt>
                <c:pt idx="1">
                  <c:v>23</c:v>
                </c:pt>
                <c:pt idx="2">
                  <c:v>19</c:v>
                </c:pt>
              </c:numCache>
            </c:numRef>
          </c:val>
        </c:ser>
        <c:ser>
          <c:idx val="4"/>
          <c:order val="4"/>
          <c:tx>
            <c:strRef>
              <c:f>label 4</c:f>
              <c:strCache>
                <c:ptCount val="1"/>
                <c:pt idx="0">
                  <c:v>Databases</c:v>
                </c:pt>
              </c:strCache>
            </c:strRef>
          </c:tx>
          <c:spPr>
            <a:solidFill>
              <a:srgbClr val="8064a2"/>
            </a:solidFill>
            <a:ln>
              <a:noFill/>
            </a:ln>
          </c:spPr>
          <c:invertIfNegative val="0"/>
          <c:dLbls>
            <c:dLblPos val="outEnd"/>
            <c:showLegendKey val="0"/>
            <c:showVal val="0"/>
            <c:showCatName val="0"/>
            <c:showSerName val="0"/>
            <c:showPercent val="0"/>
            <c:showLeaderLines val="0"/>
          </c:dLbls>
          <c:cat>
            <c:strRef>
              <c:f>categories</c:f>
              <c:strCache>
                <c:ptCount val="3"/>
                <c:pt idx="0">
                  <c:v>2015-2016</c:v>
                </c:pt>
                <c:pt idx="1">
                  <c:v>2014-2015</c:v>
                </c:pt>
                <c:pt idx="2">
                  <c:v>2013-2014</c:v>
                </c:pt>
              </c:strCache>
            </c:strRef>
          </c:cat>
          <c:val>
            <c:numRef>
              <c:f>4</c:f>
              <c:numCache>
                <c:formatCode>General</c:formatCode>
                <c:ptCount val="3"/>
                <c:pt idx="0">
                  <c:v>1</c:v>
                </c:pt>
                <c:pt idx="1">
                  <c:v>2</c:v>
                </c:pt>
                <c:pt idx="2">
                  <c:v>2</c:v>
                </c:pt>
              </c:numCache>
            </c:numRef>
          </c:val>
        </c:ser>
        <c:ser>
          <c:idx val="5"/>
          <c:order val="5"/>
          <c:tx>
            <c:strRef>
              <c:f>label 5</c:f>
              <c:strCache>
                <c:ptCount val="1"/>
                <c:pt idx="0">
                  <c:v>Intranet </c:v>
                </c:pt>
              </c:strCache>
            </c:strRef>
          </c:tx>
          <c:spPr>
            <a:solidFill>
              <a:srgbClr val="4bacc6"/>
            </a:solidFill>
            <a:ln>
              <a:noFill/>
            </a:ln>
          </c:spPr>
          <c:invertIfNegative val="0"/>
          <c:dLbls>
            <c:dLblPos val="outEnd"/>
            <c:showLegendKey val="0"/>
            <c:showVal val="0"/>
            <c:showCatName val="0"/>
            <c:showSerName val="0"/>
            <c:showPercent val="0"/>
            <c:showLeaderLines val="0"/>
          </c:dLbls>
          <c:cat>
            <c:strRef>
              <c:f>categories</c:f>
              <c:strCache>
                <c:ptCount val="3"/>
                <c:pt idx="0">
                  <c:v>2015-2016</c:v>
                </c:pt>
                <c:pt idx="1">
                  <c:v>2014-2015</c:v>
                </c:pt>
                <c:pt idx="2">
                  <c:v>2013-2014</c:v>
                </c:pt>
              </c:strCache>
            </c:strRef>
          </c:cat>
          <c:val>
            <c:numRef>
              <c:f>5</c:f>
              <c:numCache>
                <c:formatCode>General</c:formatCode>
                <c:ptCount val="3"/>
                <c:pt idx="0">
                  <c:v>14</c:v>
                </c:pt>
                <c:pt idx="1">
                  <c:v>17</c:v>
                </c:pt>
                <c:pt idx="2">
                  <c:v>20</c:v>
                </c:pt>
              </c:numCache>
            </c:numRef>
          </c:val>
        </c:ser>
        <c:gapWidth val="219"/>
        <c:overlap val="-27"/>
        <c:axId val="74531781"/>
        <c:axId val="63914330"/>
      </c:barChart>
      <c:catAx>
        <c:axId val="74531781"/>
        <c:scaling>
          <c:orientation val="minMax"/>
        </c:scaling>
        <c:delete val="0"/>
        <c:axPos val="b"/>
        <c:numFmt formatCode="DD/MM/YYYY" sourceLinked="0"/>
        <c:majorTickMark val="none"/>
        <c:minorTickMark val="none"/>
        <c:tickLblPos val="nextTo"/>
        <c:spPr>
          <a:ln w="9360">
            <a:solidFill>
              <a:srgbClr val="d9d9d9"/>
            </a:solidFill>
            <a:round/>
          </a:ln>
        </c:spPr>
        <c:txPr>
          <a:bodyPr/>
          <a:p>
            <a:pPr>
              <a:defRPr b="0" sz="900" spc="-1" strike="noStrike">
                <a:solidFill>
                  <a:srgbClr val="595959"/>
                </a:solidFill>
                <a:uFill>
                  <a:solidFill>
                    <a:srgbClr val="ffffff"/>
                  </a:solidFill>
                </a:uFill>
                <a:latin typeface="Calibri"/>
              </a:defRPr>
            </a:pPr>
          </a:p>
        </c:txPr>
        <c:crossAx val="63914330"/>
        <c:crosses val="autoZero"/>
        <c:auto val="1"/>
        <c:lblAlgn val="ctr"/>
        <c:lblOffset val="100"/>
      </c:catAx>
      <c:valAx>
        <c:axId val="63914330"/>
        <c:scaling>
          <c:orientation val="minMax"/>
        </c:scaling>
        <c:delete val="0"/>
        <c:axPos val="l"/>
        <c:majorGridlines>
          <c:spPr>
            <a:ln w="9360">
              <a:solidFill>
                <a:srgbClr val="d9d9d9"/>
              </a:solidFill>
              <a:round/>
            </a:ln>
          </c:spPr>
        </c:majorGridlines>
        <c:numFmt formatCode="General" sourceLinked="0"/>
        <c:majorTickMark val="none"/>
        <c:minorTickMark val="none"/>
        <c:tickLblPos val="nextTo"/>
        <c:spPr>
          <a:ln w="9360">
            <a:noFill/>
          </a:ln>
        </c:spPr>
        <c:txPr>
          <a:bodyPr/>
          <a:p>
            <a:pPr>
              <a:defRPr b="0" sz="900" spc="-1" strike="noStrike">
                <a:solidFill>
                  <a:srgbClr val="595959"/>
                </a:solidFill>
                <a:uFill>
                  <a:solidFill>
                    <a:srgbClr val="ffffff"/>
                  </a:solidFill>
                </a:uFill>
                <a:latin typeface="Calibri"/>
              </a:defRPr>
            </a:pPr>
          </a:p>
        </c:txPr>
        <c:crossAx val="74531781"/>
        <c:crosses val="autoZero"/>
        <c:crossBetween val="midCat"/>
      </c:valAx>
      <c:spPr>
        <a:noFill/>
        <a:ln>
          <a:noFill/>
        </a:ln>
      </c:spPr>
    </c:plotArea>
    <c:legend>
      <c:legendPos val="b"/>
      <c:overlay val="0"/>
      <c:spPr>
        <a:noFill/>
        <a:ln>
          <a:noFill/>
        </a:ln>
      </c:spPr>
    </c:legend>
    <c:plotVisOnly val="1"/>
    <c:dispBlanksAs val="gap"/>
  </c:chart>
  <c:spPr>
    <a:solidFill>
      <a:srgbClr val="ffffff"/>
    </a:solidFill>
    <a:ln w="9360">
      <a:solidFill>
        <a:srgbClr val="d9d9d9"/>
      </a:solidFill>
      <a:round/>
    </a:ln>
  </c:spPr>
  <c:externalData r:id="rId1"/>
</c:chartSpace>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09270DD3E3D4D9F82F69F52C20C92BB"/>
        <w:category>
          <w:name w:val="General"/>
          <w:gallery w:val="placeholder"/>
        </w:category>
        <w:types>
          <w:type w:val="bbPlcHdr"/>
        </w:types>
        <w:behaviors>
          <w:behavior w:val="content"/>
        </w:behaviors>
        <w:guid w:val="{5114972B-ED41-4EF9-A9F4-06E654D84E65}"/>
      </w:docPartPr>
      <w:docPartBody>
        <w:p w:rsidR="009A7A98" w:rsidRDefault="005B6E04" w:rsidP="005B6E04">
          <w:pPr>
            <w:pStyle w:val="E09270DD3E3D4D9F82F69F52C20C92BB"/>
          </w:pPr>
          <w:r>
            <w:rPr>
              <w:rFonts w:asciiTheme="majorHAnsi" w:eastAsiaTheme="majorEastAsia" w:hAnsiTheme="majorHAnsi" w:cstheme="majorBidi"/>
              <w:caps/>
              <w:color w:val="5B9BD5" w:themeColor="accent1"/>
              <w:sz w:val="80"/>
              <w:szCs w:val="80"/>
            </w:rPr>
            <w:t>[Document title]</w:t>
          </w:r>
        </w:p>
      </w:docPartBody>
    </w:docPart>
    <w:docPart>
      <w:docPartPr>
        <w:name w:val="7B8488828DF945998C711AF2C2254F56"/>
        <w:category>
          <w:name w:val="General"/>
          <w:gallery w:val="placeholder"/>
        </w:category>
        <w:types>
          <w:type w:val="bbPlcHdr"/>
        </w:types>
        <w:behaviors>
          <w:behavior w:val="content"/>
        </w:behaviors>
        <w:guid w:val="{73C3BC1B-67FD-421B-811A-4EE5C20C880A}"/>
      </w:docPartPr>
      <w:docPartBody>
        <w:p w:rsidR="009A7A98" w:rsidRDefault="005B6E04" w:rsidP="005B6E04">
          <w:pPr>
            <w:pStyle w:val="7B8488828DF945998C711AF2C2254F56"/>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D52"/>
    <w:rsid w:val="005B6E04"/>
    <w:rsid w:val="00842D52"/>
    <w:rsid w:val="009A7A98"/>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EFA77B75DA48BC97FDB61A40EE3D6C">
    <w:name w:val="8AEFA77B75DA48BC97FDB61A40EE3D6C"/>
    <w:rsid w:val="00842D52"/>
  </w:style>
  <w:style w:type="paragraph" w:customStyle="1" w:styleId="71152EA93729447A8F8243C62039B1AF">
    <w:name w:val="71152EA93729447A8F8243C62039B1AF"/>
    <w:rsid w:val="00842D52"/>
  </w:style>
  <w:style w:type="paragraph" w:customStyle="1" w:styleId="B1D060CFE5854C63AB13DBAEDD1BCEA4">
    <w:name w:val="B1D060CFE5854C63AB13DBAEDD1BCEA4"/>
    <w:rsid w:val="00842D52"/>
  </w:style>
  <w:style w:type="paragraph" w:customStyle="1" w:styleId="E09270DD3E3D4D9F82F69F52C20C92BB">
    <w:name w:val="E09270DD3E3D4D9F82F69F52C20C92BB"/>
    <w:rsid w:val="005B6E04"/>
  </w:style>
  <w:style w:type="paragraph" w:customStyle="1" w:styleId="7B8488828DF945998C711AF2C2254F56">
    <w:name w:val="7B8488828DF945998C711AF2C2254F56"/>
    <w:rsid w:val="005B6E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verPageProperties xmlns="http://schemas.microsoft.com/office/2006/coverPageProps">
  <PublishDate>2017-04-05T00:00:00</PublishDate>
  <Abstract/>
  <CompanyAddress>ALMA LUCAS </CompanyAddress>
  <CompanyPhone/>
  <CompanyFax/>
  <CompanyEmail/>
</CoverPageProperties>
</file>

<file path=customXml/itemProps1.xml><?xml version="1.0" encoding="utf-8"?>
<ds:datastoreItem xmlns:ds="http://schemas.openxmlformats.org/officeDocument/2006/customXml" ds:itemID="{0783A407-E1ED-4A72-83CB-F2A9D0D295BA}">
  <ds:schemaRefs>
    <ds:schemaRef ds:uri="http://schemas.openxmlformats.org/officeDocument/2006/bibliography"/>
  </ds:schemaRefs>
</ds:datastoreItem>
</file>

<file path=customXml/itemProps2.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370</TotalTime>
  <Application>LibreOffice/5.1.4.2$Linux_X86_64 LibreOffice_project/10m0$Build-2</Application>
  <Pages>13</Pages>
  <Words>2309</Words>
  <Characters>13249</Characters>
  <CharactersWithSpaces>15514</CharactersWithSpaces>
  <Paragraphs>109</Paragraphs>
  <Company>nORTH mETRO TAFE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2017-03-01T03:29:00Z</dcterms:created>
  <dc:creator>Alma Lucas</dc:creator>
  <dc:description/>
  <dc:language>en-AU</dc:language>
  <cp:lastModifiedBy/>
  <dcterms:modified xsi:type="dcterms:W3CDTF">2017-04-07T20:26:17Z</dcterms:modified>
  <cp:revision>37</cp:revision>
  <dc:subject>METRO INFO</dc:subject>
  <dc:title>Customer Service plan</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nORTH mETRO TAFE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