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Normal"/><w:tabs><w:tab w:val="left" w:pos="6237" w:leader="none"/><w:tab w:val="left" w:pos="7020" w:leader="none"/><w:tab w:val="left" w:pos="7200" w:leader="none"/></w:tabs><w:ind w:right="-285" w:hanging="0"/><w:rPr><w:rFonts w:ascii="Cambria" w:hAnsi="Cambria" w:asciiTheme="minorHAnsi" w:hAnsiTheme="minorHAnsi"/></w:rPr></w:pPr><w:r><w:rPr><w:rFonts w:ascii="Cambria" w:hAnsi="Cambria" w:asciiTheme="minorHAnsi" w:hAnsiTheme="minorHAnsi"/><w:b/></w:rPr><w:t>PHIL 596</w:t></w:r><w:r><w:rPr><w:rFonts w:ascii="Cambria" w:hAnsi="Cambria" w:asciiTheme="minorHAnsi" w:hAnsiTheme="minorHAnsi"/></w:rPr><w:tab/></w:r><w:r><w:rPr><w:rFonts w:ascii="Cambria" w:hAnsi="Cambria" w:asciiTheme="minorHAnsi" w:hAnsiTheme="minorHAnsi"/><w:b/><w:bCs/></w:rPr><w:t>Jack Zupko</w:t></w:r></w:p><w:p><w:pPr><w:pStyle w:val="Normal"/><w:tabs><w:tab w:val="left" w:pos="6237" w:leader="none"/><w:tab w:val="left" w:pos="7020" w:leader="none"/></w:tabs><w:ind w:right="-285" w:hanging="0"/><w:rPr><w:rFonts w:ascii="Cambria" w:hAnsi="Cambria" w:asciiTheme="minorHAnsi" w:hAnsiTheme="minorHAnsi"/><w:b/><w:b/><w:bCs/></w:rPr></w:pPr><w:r><w:rPr><w:rFonts w:ascii="Cambria" w:hAnsi="Cambria" w:asciiTheme="minorHAnsi" w:hAnsiTheme="minorHAnsi"/><w:b/><w:bCs/></w:rPr><w:t>University of Alberta</w:t><w:tab/><w:t>Roxane No</w:t></w:r><w:r><w:rPr><w:rFonts w:ascii="Cambria" w:hAnsi="Cambria" w:asciiTheme="minorHAnsi" w:hAnsiTheme="minorHAnsi"/><w:b/><w:color w:val="000000"/></w:rPr><w:t>ë</w:t></w:r><w:r><w:rPr><w:rFonts w:ascii="Cambria" w:hAnsi="Cambria" w:asciiTheme="minorHAnsi" w:hAnsiTheme="minorHAnsi"/><w:b/><w:bCs/></w:rPr><w:t>l</w:t></w:r></w:p><w:p><w:pPr><w:pStyle w:val="Normal"/><w:tabs><w:tab w:val="left" w:pos="6237" w:leader="none"/><w:tab w:val="left" w:pos="6840" w:leader="none"/><w:tab w:val="left" w:pos="7020" w:leader="none"/></w:tabs><w:ind w:right="-285" w:hanging="0"/><w:rPr></w:rPr></w:pPr><w:r><w:rPr><w:rFonts w:ascii="Cambria" w:hAnsi="Cambria" w:asciiTheme="minorHAnsi" w:hAnsiTheme="minorHAnsi"/><w:b/><w:bCs/></w:rPr><w:t>Winter 2017</w:t><w:tab/></w:r><w:r><w:rPr><w:rFonts w:ascii="Cambria" w:hAnsi="Cambria" w:asciiTheme="minorHAnsi" w:hAnsiTheme="minorHAnsi"/></w:rPr><w:t xml:space="preserve"> </w:t></w:r></w:p><w:p><w:pPr><w:pStyle w:val="Heading1"/><w:ind w:right="360" w:hanging="0"/><w:jc w:val="center"/><w:rPr><w:rFonts w:ascii="Cambria" w:hAnsi="Cambria" w:asciiTheme="minorHAnsi" w:hAnsiTheme="minorHAnsi"/><w:color w:val="00000A"/><w:sz w:val="28"/><w:szCs w:val="28"/></w:rPr></w:pPr><w:r><w:rPr><w:rFonts w:eastAsia="Times New Roman" w:cs="Times New Roman" w:ascii="Cambria" w:hAnsi="Cambria"/><w:color w:val="00000A"/><w:sz w:val="28"/><w:szCs w:val="28"/></w:rPr><w:t xml:space="preserve">Directed Reading in Medieval Philosophy </w:t></w:r></w:p><w:p><w:pPr><w:pStyle w:val="Normal"/><w:ind w:right="360" w:hanging="0"/><w:rPr><w:sz w:val="28"/><w:szCs w:val="28"/></w:rPr></w:pPr><w:r><w:rPr><w:sz w:val="28"/><w:szCs w:val="28"/></w:rPr></w:r></w:p><w:p><w:pPr><w:pStyle w:val="Normal"/><w:spacing w:lineRule="auto" w:line="240"/><w:ind w:right="360" w:hanging="0"/><w:rPr></w:rPr></w:pPr><w:r><w:rPr><w:rFonts w:ascii="Cambria" w:hAnsi="Cambria" w:asciiTheme="minorHAnsi" w:hAnsiTheme="minorHAnsi"/></w:rPr><w:tab/><w:t>The focus of this directed reading will be on the medieval notion of intentionality, with special emphasis on Peter Abelard. There are two common meanings attached to the word “intentional”. In its first, everyday sense, an intentional act is an act that was made willingfully by an agent. By contrast, an unintentional act is accidental and so wasn’t intended by the agent. This sense is often at play when it comes to moral questions: Can someone be good even without good intentions? Is a good intention sufficient for an action to be good, even though it ends up triggering unforeseen negative consequences? In this area, Abelard is well-known for his very demanding intentionalist ethics. According to him</w:t></w:r><w:r><w:rPr><w:rFonts w:ascii="Cambria" w:hAnsi="Cambria" w:asciiTheme="minorHAnsi" w:hAnsiTheme="minorHAnsi"/></w:rPr><w:t xml:space="preserve">, when it comes to evaluating the moral character of actions and/or people, the </w:t></w:r><w:r><w:rPr><w:rFonts w:ascii="Cambria" w:hAnsi="Cambria" w:asciiTheme="minorHAnsi" w:hAnsiTheme="minorHAnsi"/><w:i/><w:iCs/></w:rPr><w:t>only</w:t></w:r><w:r><w:rPr><w:rFonts w:ascii="Cambria" w:hAnsi="Cambria" w:asciiTheme="minorHAnsi" w:hAnsiTheme="minorHAnsi"/></w:rPr><w:t xml:space="preserve"> important factor is the intentions of the agent; consequences are morally irrelevant.  But there is also another, more technical sense of “intentional” that is better known to current readers through the work of Brentano. In this sense, an intentional act is an act that has the property of an act to be directed towards something else, from the Latin </w:t></w:r><w:r><w:rPr><w:rFonts w:ascii="Cambria" w:hAnsi="Cambria" w:asciiTheme="minorHAnsi" w:hAnsiTheme="minorHAnsi"/><w:i/><w:iCs/></w:rPr><w:t>tendere</w:t></w:r><w:r><w:rPr><w:rFonts w:ascii="Cambria" w:hAnsi="Cambria" w:asciiTheme="minorHAnsi" w:hAnsiTheme="minorHAnsi"/></w:rPr><w:t xml:space="preserve">, being in tension. Brentano is well known for stating that intentionality is the mark of the mental, but the notion was broader for the scholastics. For them, intentionality was an important trait of cognitive acts, but was not only limited to mental phenomena. </w:t></w:r></w:p><w:p><w:pPr><w:pStyle w:val="Normal"/><w:spacing w:lineRule="auto" w:line="240"/><w:ind w:right="360" w:hanging="0"/><w:rPr></w:rPr></w:pPr><w:r><w:rPr><w:rFonts w:ascii="Cambria" w:hAnsi="Cambria" w:asciiTheme="minorHAnsi" w:hAnsiTheme="minorHAnsi"/></w:rPr><w:tab/><w:t>T</w:t></w:r><w:r><w:rPr><w:rFonts w:ascii="Cambria" w:hAnsi="Cambria" w:asciiTheme="minorHAnsi" w:hAnsiTheme="minorHAnsi"/></w:rPr><w:t>he aim of this directed reading is then twofold. First, I want to clarifiy what the links between the two senses of intentionality are. Abelard seems like an interesting choice since he not only writes about intentionalist ethics, but he also explores the intentional character of the mind in Tractatus de Intellectibus; even though there are a few occurences of the latin word “intentio” in the text, however, the notion is not fully thematized. This brings me to my second goal, which is to clarify to what extent Abelard’s characterization of cognitive acts fits in the medieval tradition of thinking about intentionality. I would especially like to see how close he is to other medieval thinkers but also to the ways more contemporary authors have thought about intentionality.</w:t></w:r></w:p><w:p><w:pPr><w:pStyle w:val="Normal"/><w:spacing w:lineRule="auto" w:line="360"/><w:ind w:right="360" w:hanging="0"/><w:rPr><w:rFonts w:ascii="Cambria" w:hAnsi="Cambria" w:asciiTheme="minorHAnsi" w:hAnsiTheme="minorHAnsi"/></w:rPr></w:pPr><w:bookmarkStart w:id="0" w:name="_GoBack"/><w:bookmarkStart w:id="1" w:name="_GoBack"/><w:bookmarkEnd w:id="1"/><w:r><w:rPr><w:rFonts w:asciiTheme="minorHAnsi" w:hAnsiTheme="minorHAnsi" w:ascii="Cambria" w:hAnsi="Cambria"/></w:rPr></w:r></w:p><w:p><w:pPr><w:pStyle w:val="Normal"/><w:ind w:right="360" w:hanging="0"/><w:rPr></w:rPr></w:pPr><w:r><w:rPr><w:rFonts w:ascii="Cambria" w:hAnsi="Cambria" w:asciiTheme="minorHAnsi" w:hAnsiTheme="minorHAnsi"/><w:b/><w:bCs/><w:u w:val="single"/></w:rPr><w:t xml:space="preserve">Principal </w:t></w:r><w:r><w:rPr><w:rFonts w:ascii="Cambria" w:hAnsi="Cambria" w:asciiTheme="minorHAnsi" w:hAnsiTheme="minorHAnsi"/><w:b/><w:bCs/><w:u w:val="single"/></w:rPr><w:t>Readings</w:t></w:r><w:r><w:rPr><w:rFonts w:ascii="Cambria" w:hAnsi="Cambria" w:asciiTheme="minorHAnsi" w:hAnsiTheme="minorHAnsi"/><w:bCs/></w:rPr><w:t xml:space="preserve"> </w:t></w:r></w:p><w:p><w:pPr><w:pStyle w:val="Normal"/><w:ind w:right="360" w:hanging="0"/><w:rPr><w:rFonts w:ascii="Cambria" w:hAnsi="Cambria" w:asciiTheme="minorHAnsi" w:hAnsiTheme="minorHAnsi"/><w:iCs/></w:rPr></w:pPr><w:r><w:rPr><w:rFonts w:asciiTheme="minorHAnsi" w:hAnsiTheme="minorHAnsi" w:ascii="Cambria" w:hAnsi="Cambria"/><w:iCs/></w:rPr></w:r></w:p><w:p><w:pPr><w:pStyle w:val="ListParagraph"/><w:numPr><w:ilvl w:val="0"/><w:numId w:val="1"/></w:numPr><w:ind w:left="720" w:right="360" w:hanging="360"/><w:rPr><w:rFonts w:ascii="Cambria" w:hAnsi="Cambria" w:asciiTheme="minorHAnsi" w:hAnsiTheme="minorHAnsi"/><w:iCs/></w:rPr></w:pPr><w:r><w:rPr><w:rFonts w:eastAsia="ＭＳ 明朝" w:ascii="Cambria" w:hAnsi="Cambria" w:asciiTheme="minorHAnsi" w:eastAsiaTheme="minorEastAsia" w:hAnsiTheme="minorHAnsi"/><w:iCs/><w:color w:val="1A1A1A"/></w:rPr><w:t xml:space="preserve">Klima, Gyula (ed.) </w:t></w:r><w:r><w:rPr><w:rFonts w:eastAsia="ＭＳ 明朝" w:ascii="Cambria" w:hAnsi="Cambria" w:asciiTheme="minorHAnsi" w:eastAsiaTheme="minorEastAsia" w:hAnsiTheme="minorHAnsi"/><w:i/><w:iCs/><w:color w:val="1A1A1A"/></w:rPr><w:t>Intentionality, Cognition, and Mental Representation in Medieval Philosophy</w:t></w:r><w:r><w:rPr><w:rFonts w:eastAsia="ＭＳ 明朝" w:ascii="Cambria" w:hAnsi="Cambria" w:asciiTheme="minorHAnsi" w:eastAsiaTheme="minorEastAsia" w:hAnsiTheme="minorHAnsi"/><w:color w:val="1A1A1A"/></w:rPr><w:t>.  Medieval Philosophy: Texts and Studies. New York: Fordham University Press, 2015.</w:t></w:r></w:p><w:p><w:pPr><w:pStyle w:val="Normal"/><w:ind w:right="360" w:hanging="0"/><w:rPr><w:rFonts w:ascii="Cambria" w:hAnsi="Cambria" w:eastAsia="ＭＳ 明朝" w:cs="Times" w:asciiTheme="minorHAnsi" w:eastAsiaTheme="minorEastAsia" w:hAnsiTheme="minorHAnsi"/><w:color w:val="141414"/></w:rPr></w:pPr><w:r><w:rPr><w:rFonts w:eastAsia="ＭＳ 明朝" w:cs="Times" w:eastAsiaTheme="minorEastAsia" w:ascii="Cambria" w:hAnsi="Cambria"/><w:color w:val="141414"/></w:rPr></w:r></w:p><w:p><w:pPr><w:pStyle w:val="ListParagraph"/><w:numPr><w:ilvl w:val="0"/><w:numId w:val="1"/></w:numPr><w:ind w:left="720" w:right="360" w:hanging="360"/><w:rPr><w:rFonts w:ascii="Cambria" w:hAnsi="Cambria" w:eastAsia="ＭＳ 明朝" w:cs="Times" w:asciiTheme="minorHAnsi" w:eastAsiaTheme="minorEastAsia" w:hAnsiTheme="minorHAnsi"/><w:color w:val="141414"/></w:rPr></w:pPr><w:r><w:rPr><w:rFonts w:eastAsia="ＭＳ 明朝" w:cs="Times" w:ascii="Cambria" w:hAnsi="Cambria" w:asciiTheme="minorHAnsi" w:eastAsiaTheme="minorEastAsia" w:hAnsiTheme="minorHAnsi"/><w:color w:val="141414"/></w:rPr><w:t xml:space="preserve">Spade, Paul Vincent (ed.) </w:t></w:r><w:r><w:rPr><w:rFonts w:eastAsia="ＭＳ 明朝" w:cs="Times" w:ascii="Cambria" w:hAnsi="Cambria" w:asciiTheme="minorHAnsi" w:eastAsiaTheme="minorEastAsia" w:hAnsiTheme="minorHAnsi"/><w:i/><w:iCs/><w:color w:val="141414"/></w:rPr><w:t>Peter Abelard: Ethical Writings</w:t></w:r><w:r><w:rPr><w:rFonts w:eastAsia="ＭＳ 明朝" w:cs="Times" w:ascii="Cambria" w:hAnsi="Cambria" w:asciiTheme="minorHAnsi" w:eastAsiaTheme="minorEastAsia" w:hAnsiTheme="minorHAnsi"/><w:color w:val="141414"/></w:rPr><w:t>. Indianapolis: Hackett, 1995.</w:t></w:r></w:p><w:p><w:pPr><w:pStyle w:val="Normal"/><w:ind w:right="360" w:hanging="0"/><w:rPr><w:rFonts w:ascii="Cambria" w:hAnsi="Cambria" w:eastAsia="ＭＳ 明朝" w:cs="Times" w:asciiTheme="minorHAnsi" w:eastAsiaTheme="minorEastAsia" w:hAnsiTheme="minorHAnsi"/><w:color w:val="141414"/></w:rPr></w:pPr><w:r><w:rPr><w:rFonts w:eastAsia="ＭＳ 明朝" w:cs="Times" w:eastAsiaTheme="minorEastAsia" w:ascii="Cambria" w:hAnsi="Cambria"/><w:color w:val="141414"/></w:rPr></w:r></w:p><w:p><w:pPr><w:pStyle w:val="ListParagraph"/><w:numPr><w:ilvl w:val="0"/><w:numId w:val="1"/></w:numPr><w:ind w:left="720" w:right="360" w:hanging="360"/><w:rPr><w:rFonts w:ascii="Cambria" w:hAnsi="Cambria" w:eastAsia="ＭＳ 明朝" w:cs="Times" w:asciiTheme="minorHAnsi" w:eastAsiaTheme="minorEastAsia" w:hAnsiTheme="minorHAnsi"/><w:color w:val="141414"/></w:rPr></w:pPr><w:r><w:rPr><w:rFonts w:eastAsia="ＭＳ 明朝" w:cs="Times" w:ascii="Cambria" w:hAnsi="Cambria" w:asciiTheme="minorHAnsi" w:eastAsiaTheme="minorEastAsia" w:hAnsiTheme="minorHAnsi"/><w:color w:val="141414"/></w:rPr><w:t xml:space="preserve">Spade, Paul Vincent (ed.) </w:t></w:r><w:r><w:rPr><w:rFonts w:eastAsia="ＭＳ 明朝" w:cs="Times" w:ascii="Cambria" w:hAnsi="Cambria" w:asciiTheme="minorHAnsi" w:eastAsiaTheme="minorEastAsia" w:hAnsiTheme="minorHAnsi"/><w:i/><w:iCs/><w:color w:val="141414"/></w:rPr><w:t>Five Texts on the Mediaeval Problem of Universals</w:t></w:r><w:r><w:rPr><w:rFonts w:eastAsia="ＭＳ 明朝" w:cs="Times" w:ascii="Cambria" w:hAnsi="Cambria" w:asciiTheme="minorHAnsi" w:eastAsiaTheme="minorEastAsia" w:hAnsiTheme="minorHAnsi"/><w:color w:val="141414"/></w:rPr><w:t xml:space="preserve">. Indianapolis: Hackett, 1994.  </w:t></w:r></w:p><w:p><w:pPr><w:pStyle w:val="Normal"/><w:ind w:right="360" w:hanging="0"/><w:rPr><w:rFonts w:ascii="Cambria" w:hAnsi="Cambria" w:eastAsia="ＭＳ 明朝" w:cs="Times" w:asciiTheme="minorHAnsi" w:eastAsiaTheme="minorEastAsia" w:hAnsiTheme="minorHAnsi"/><w:color w:val="141414"/></w:rPr></w:pPr><w:r><w:rPr><w:rFonts w:eastAsia="ＭＳ 明朝" w:cs="Times" w:eastAsiaTheme="minorEastAsia" w:ascii="Cambria" w:hAnsi="Cambria"/><w:color w:val="141414"/></w:rPr></w:r></w:p><w:p><w:pPr><w:pStyle w:val="ListParagraph"/><w:numPr><w:ilvl w:val="0"/><w:numId w:val="1"/></w:numPr><w:ind w:left="720" w:right="360" w:hanging="360"/><w:rPr></w:rPr></w:pPr><w:r><w:rPr><w:rFonts w:eastAsia="ＭＳ 明朝" w:cs="Times" w:ascii="Cambria" w:hAnsi="Cambria" w:asciiTheme="minorHAnsi" w:eastAsiaTheme="minorEastAsia" w:hAnsiTheme="minorHAnsi"/><w:color w:val="141414"/></w:rPr><w:t xml:space="preserve">Peter Abelard, </w:t></w:r><w:r><w:rPr><w:rFonts w:eastAsia="ＭＳ 明朝" w:cs="Times" w:ascii="Cambria" w:hAnsi="Cambria" w:asciiTheme="minorHAnsi" w:eastAsiaTheme="minorEastAsia" w:hAnsiTheme="minorHAnsi"/><w:i/><w:color w:val="141414"/></w:rPr><w:t>De intellectibus</w:t></w:r></w:p><w:p><w:pPr><w:pStyle w:val="ListParagraph"/><w:ind w:left="720" w:right="360" w:hanging="360"/><w:rPr><w:rFonts w:ascii="Cambria" w:hAnsi="Cambria" w:eastAsia="ＭＳ 明朝" w:cs="Times" w:asciiTheme="minorHAnsi" w:eastAsiaTheme="minorEastAsia" w:hAnsiTheme="minorHAnsi"/><w:i/><w:i/><w:color w:val="141414"/></w:rPr></w:pPr><w:r><w:rPr></w:rPr></w:r></w:p><w:p><w:pPr><w:pStyle w:val="Heading3"/><w:spacing w:before="0" w:after="0"/><w:ind w:right="360" w:hanging="0"/><w:rPr><w:rFonts w:ascii="Cambria" w:hAnsi="Cambria" w:asciiTheme="minorHAnsi" w:hAnsiTheme="minorHAnsi"/></w:rPr></w:pPr><w:r><w:rPr><w:rFonts w:asciiTheme="minorHAnsi" w:hAnsiTheme="minorHAnsi" w:ascii="Cambria" w:hAnsi="Cambria" w:asciiTheme="minorHAnsi" w:hAnsiTheme="minorHAnsi"/><w:color w:val="00000A"/><w:u w:val="single"/></w:rPr><w:t>Additional Readings</w:t></w:r></w:p><w:p><w:pPr><w:pStyle w:val="ListParagraph"/><w:numPr><w:ilvl w:val="0"/><w:numId w:val="1"/></w:numPr><w:ind w:left="720" w:right="360" w:hanging="360"/><w:rPr></w:rPr></w:pPr><w:r><w:rPr><w:rFonts w:eastAsia="ＭＳ 明朝" w:cs="Times" w:ascii="Cambria" w:hAnsi="Cambria" w:asciiTheme="minorHAnsi" w:eastAsiaTheme="minorEastAsia" w:hAnsiTheme="minorHAnsi"/><w:color w:val="141414"/></w:rPr><w:t xml:space="preserve">Marenbon, John (1997). </w:t></w:r><w:r><w:rPr><w:rFonts w:eastAsia="ＭＳ 明朝" w:cs="Times" w:ascii="Cambria" w:hAnsi="Cambria" w:asciiTheme="minorHAnsi" w:eastAsiaTheme="minorEastAsia" w:hAnsiTheme="minorHAnsi"/><w:i/><w:color w:val="141414"/></w:rPr><w:t>The Philosophy of Peter Abelard</w:t></w:r><w:r><w:rPr><w:rFonts w:eastAsia="ＭＳ 明朝" w:cs="Times" w:ascii="Cambria" w:hAnsi="Cambria" w:asciiTheme="minorHAnsi" w:eastAsiaTheme="minorEastAsia" w:hAnsiTheme="minorHAnsi"/><w:color w:val="141414"/></w:rPr><w:t xml:space="preserve">. Cambridge University Press. </w:t></w:r></w:p><w:p><w:pPr><w:pStyle w:val="Normal"/><w:ind w:right="360" w:hanging="0"/><w:rPr><w:rFonts w:ascii="Cambria" w:hAnsi="Cambria" w:eastAsia="ＭＳ 明朝" w:cs="Times" w:asciiTheme="minorHAnsi" w:eastAsiaTheme="minorEastAsia" w:hAnsiTheme="minorHAnsi"/><w:color w:val="141414"/></w:rPr></w:pPr><w:r><w:rPr><w:rFonts w:eastAsia="ＭＳ 明朝" w:cs="Times" w:eastAsiaTheme="minorEastAsia" w:ascii="Cambria" w:hAnsi="Cambria"/><w:color w:val="141414"/></w:rPr></w:r></w:p><w:p><w:pPr><w:pStyle w:val="ListParagraph"/><w:numPr><w:ilvl w:val="0"/><w:numId w:val="1"/></w:numPr><w:spacing w:before="0" w:after="0"/><w:ind w:left="720" w:right="360" w:hanging="360"/><w:rPr><w:rFonts w:ascii="Cambria" w:hAnsi="Cambria" w:asciiTheme="minorHAnsi" w:hAnsiTheme="minorHAnsi"/><w:u w:val="none"/></w:rPr></w:pPr><w:r><w:rPr><w:rFonts w:eastAsia="ＭＳ 明朝" w:cs="Times" w:ascii="Cambria" w:hAnsi="Cambria" w:asciiTheme="minorHAnsi" w:eastAsiaTheme="minorEastAsia" w:hAnsiTheme="minorHAnsi"/><w:color w:val="141414"/><w:u w:val="none"/></w:rPr><w:t xml:space="preserve">Tweedale, Martin M. (1976). </w:t></w:r><w:r><w:rPr><w:rFonts w:eastAsia="ＭＳ 明朝" w:cs="Times" w:ascii="Cambria" w:hAnsi="Cambria" w:asciiTheme="minorHAnsi" w:eastAsiaTheme="minorEastAsia" w:hAnsiTheme="minorHAnsi"/><w:i/><w:color w:val="141414"/><w:u w:val="none"/></w:rPr><w:t>Abailard on Universals</w:t></w:r><w:r><w:rPr><w:rFonts w:eastAsia="ＭＳ 明朝" w:cs="Times" w:ascii="Cambria" w:hAnsi="Cambria" w:asciiTheme="minorHAnsi" w:eastAsiaTheme="minorEastAsia" w:hAnsiTheme="minorHAnsi"/><w:color w:val="141414"/><w:u w:val="none"/></w:rPr><w:t>. North Holland.</w:t></w:r></w:p><w:p><w:pPr><w:pStyle w:val="TextBody"/><w:widowControl/><w:jc w:val="left"/><w:rPr><w:rFonts w:ascii="Cambria" w:hAnsi="Cambria" w:asciiTheme="minorHAnsi" w:hAnsiTheme="minorHAnsi"/><w:szCs w:val="24"/></w:rPr></w:pPr><w:r><w:rPr><w:rFonts w:asciiTheme="minorHAnsi" w:hAnsiTheme="minorHAnsi" w:ascii="Cambria" w:hAnsi="Cambria"/><w:szCs w:val="24"/></w:rPr></w:r></w:p><w:p><w:pPr><w:pStyle w:val="Heading3"/><w:spacing w:before="0" w:after="0"/><w:rPr><w:rFonts w:ascii="Cambria" w:hAnsi="Cambria" w:asciiTheme="minorHAnsi" w:hAnsiTheme="minorHAnsi"/><w:color w:val="00000A"/><w:u w:val="single"/></w:rPr></w:pPr><w:r><w:rPr><w:rFonts w:ascii="Cambria" w:hAnsi="Cambria" w:asciiTheme="minorHAnsi" w:hAnsiTheme="minorHAnsi"/><w:color w:val="00000A"/><w:u w:val="single"/></w:rPr><w:t>Requirements</w:t></w:r></w:p><w:p><w:pPr><w:pStyle w:val="Normal"/><w:rPr><w:rFonts w:ascii="Cambria" w:hAnsi="Cambria" w:asciiTheme="minorHAnsi" w:hAnsiTheme="minorHAnsi"/></w:rPr></w:pPr><w:r><w:rPr><w:rFonts w:ascii="Cambria" w:hAnsi="Cambria" w:asciiTheme="minorHAnsi" w:hAnsiTheme="minorHAnsi"/><w:b/><w:bCs/></w:rPr><w:t> </w:t></w:r></w:p><w:p><w:pPr><w:pStyle w:val="Heading5"/><w:spacing w:before="0" w:after="0"/><w:rPr><w:rFonts w:ascii="Cambria" w:hAnsi="Cambria" w:asciiTheme="minorHAnsi" w:hAnsiTheme="minorHAnsi"/><w:b/><w:b/><w:color w:val="00000A"/></w:rPr></w:pPr><w:r><w:rPr><w:rFonts w:ascii="Cambria" w:hAnsi="Cambria" w:asciiTheme="minorHAnsi" w:hAnsiTheme="minorHAnsi"/><w:b/><w:color w:val="00000A"/></w:rPr><w:t>Research Paper (70% of final grade)</w:t></w:r></w:p><w:p><w:pPr><w:pStyle w:val="TextBody"/><w:jc w:val="left"/><w:rPr><w:rFonts w:ascii="Cambria" w:hAnsi="Cambria" w:asciiTheme="minorHAnsi" w:hAnsiTheme="minorHAnsi"/></w:rPr></w:pPr><w:r><w:rPr><w:rFonts w:ascii="Cambria" w:hAnsi="Cambria" w:asciiTheme="minorHAnsi" w:hAnsiTheme="minorHAnsi"/></w:rPr><w:t>An essay of approximately 3000-4000 words (= approximately 12-16 double-spaced pages in 12-pitch font), written in two drafts, on a mutually agreed-upon topic.  First draft due Friday, March 24; final draft</w:t></w:r><w:r><w:rPr><w:rFonts w:ascii="Cambria" w:hAnsi="Cambria" w:asciiTheme="minorHAnsi" w:hAnsiTheme="minorHAnsi"/><w:bCs/></w:rPr><w:t xml:space="preserve"> due Friday, April 7.</w:t></w:r><w:r><w:rPr><w:rFonts w:ascii="Cambria" w:hAnsi="Cambria" w:asciiTheme="minorHAnsi" w:hAnsiTheme="minorHAnsi"/></w:rPr><w:t xml:space="preserve">  </w:t></w:r></w:p><w:p><w:pPr><w:pStyle w:val="Heading5"/><w:spacing w:before="0" w:after="0"/><w:rPr><w:rFonts w:ascii="Cambria" w:hAnsi="Cambria" w:asciiTheme="minorHAnsi" w:hAnsiTheme="minorHAnsi"/><w:color w:val="00000A"/></w:rPr></w:pPr><w:r><w:rPr><w:rFonts w:ascii="Cambria" w:hAnsi="Cambria" w:asciiTheme="minorHAnsi" w:hAnsiTheme="minorHAnsi"/><w:color w:val="00000A"/></w:rPr><w:t> </w:t></w:r></w:p><w:p><w:pPr><w:pStyle w:val="Normal"/><w:ind w:right="360" w:hanging="0"/><w:rPr><w:rFonts w:ascii="Cambria" w:hAnsi="Cambria" w:asciiTheme="minorHAnsi" w:hAnsiTheme="minorHAnsi"/><w:b/><w:b/><w:bCs/></w:rPr></w:pPr><w:r><w:rPr><w:rFonts w:ascii="Cambria" w:hAnsi="Cambria" w:asciiTheme="minorHAnsi" w:hAnsiTheme="minorHAnsi"/><w:b/><w:bCs/></w:rPr><w:t>Lecture(s) in PHIL 336 (10% of final grade)</w:t></w:r></w:p><w:p><w:pPr><w:pStyle w:val="HTMLPreformatted"/><w:rPr><w:rFonts w:ascii="Cambria" w:hAnsi="Cambria" w:asciiTheme="minorHAnsi" w:hAnsiTheme="minorHAnsi"/><w:sz w:val="24"/><w:szCs w:val="24"/></w:rPr></w:pPr><w:r><w:rPr><w:rFonts w:ascii="Cambria" w:hAnsi="Cambria" w:asciiTheme="minorHAnsi" w:hAnsiTheme="minorHAnsi"/><w:sz w:val="24"/><w:szCs w:val="24"/></w:rPr><w:t>Teach class(es) on Peter Abelard’s ethics to PHIL 336 students, week of January 23, 2017</w:t></w:r></w:p><w:p><w:pPr><w:pStyle w:val="Normal"/><w:ind w:right="360" w:hanging="0"/><w:rPr><w:rFonts w:ascii="Cambria" w:hAnsi="Cambria" w:asciiTheme="minorHAnsi" w:hAnsiTheme="minorHAnsi"/><w:b/><w:b/><w:bCs/></w:rPr></w:pPr><w:r><w:rPr><w:rFonts w:asciiTheme="minorHAnsi" w:hAnsiTheme="minorHAnsi" w:ascii="Cambria" w:hAnsi="Cambria"/><w:b/><w:bCs/></w:rPr></w:r></w:p><w:p><w:pPr><w:pStyle w:val="Normal"/><w:ind w:right="360" w:hanging="0"/><w:rPr><w:rFonts w:ascii="Cambria" w:hAnsi="Cambria" w:asciiTheme="minorHAnsi" w:hAnsiTheme="minorHAnsi"/></w:rPr></w:pPr><w:r><w:rPr><w:rFonts w:ascii="Cambria" w:hAnsi="Cambria" w:asciiTheme="minorHAnsi" w:hAnsiTheme="minorHAnsi"/><w:b/><w:bCs/></w:rPr><w:t>Discussion (20% of final grade)</w:t></w:r></w:p><w:p><w:pPr><w:pStyle w:val="TextBody"/><w:widowControl/><w:ind w:right="360" w:hanging="0"/><w:jc w:val="left"/><w:rPr><w:rFonts w:ascii="Cambria" w:hAnsi="Cambria" w:asciiTheme="minorHAnsi" w:hAnsiTheme="minorHAnsi"/><w:szCs w:val="24"/></w:rPr></w:pPr><w:r><w:rPr><w:rFonts w:ascii="Cambria" w:hAnsi="Cambria" w:asciiTheme="minorHAnsi" w:hAnsiTheme="minorHAnsi"/><w:szCs w:val="24"/></w:rPr><w:t>Discussion of philosophical questions/topics at periodic meetings.</w:t></w:r></w:p><w:p><w:pPr><w:pStyle w:val="TextBody"/><w:widowControl/><w:pBdr></w:pBdr><w:ind w:right="360" w:hanging="0"/><w:jc w:val="left"/><w:rPr></w:rPr></w:pPr><w:r><w:rPr></w:rPr></w:r></w:p><w:sectPr><w:headerReference w:type="default" r:id="rId2"/><w:type w:val="nextPage"/><w:pgSz w:w="12240" w:h="15840"/><w:pgMar w:left="1797" w:right="1608" w:header="720" w:top="1440" w:footer="0" w:bottom="1276" w:gutter="0"/><w:pgNumType w:fmt="decimal"/><w:formProt w:val="false"/><w:titlePg/><w:textDirection w:val="lrTb"/><w:docGrid w:type="default" w:linePitch="240" w:charSpace="4294961151"/></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Calibri">
    <w:charset w:val="00"/>
    <w:family w:val="roman"/>
    <w:pitch w:val="variable"/>
  </w:font>
  <w:font w:name="Courier New">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r>
      <mc:AlternateContent>
        <mc:Choice Requires="wps">
          <w:drawing>
            <wp:anchor behindDoc="0" distT="0" distB="0" distL="0" distR="0" simplePos="0" locked="0" layoutInCell="1" allowOverlap="1" relativeHeight="2">
              <wp:simplePos x="0" y="0"/>
              <wp:positionH relativeFrom="margin">
                <wp:align>center</wp:align>
              </wp:positionH>
              <wp:positionV relativeFrom="paragraph">
                <wp:posOffset>635</wp:posOffset>
              </wp:positionV>
              <wp:extent cx="76835"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76835" cy="175260"/>
                      </a:xfrm>
                      <a:prstGeom prst="rect"/>
                      <a:solidFill>
                        <a:srgbClr val="FFFFFF">
                          <a:alpha val="0"/>
                        </a:srgbClr>
                      </a:solidFill>
                    </wps:spPr>
                    <wps:txbx>
                      <w:txbxContent>
                        <w:p>
                          <w:pPr>
                            <w:pStyle w:val="Header"/>
                            <w:pBdr/>
                            <w:rPr/>
                          </w:pPr>
                          <w:r>
                            <w:rPr>
                              <w:rStyle w:val="Pagenumber"/>
                            </w:rPr>
                            <w:fldChar w:fldCharType="begin"/>
                          </w:r>
                          <w:r>
                            <w:instrText> PAGE </w:instrText>
                          </w:r>
                          <w:r>
                            <w:fldChar w:fldCharType="separate"/>
                          </w:r>
                          <w:r>
                            <w:t>2</w:t>
                          </w:r>
                          <w:r>
                            <w:fldChar w:fldCharType="end"/>
                          </w:r>
                        </w:p>
                      </w:txbxContent>
                    </wps:txbx>
                    <wps:bodyPr anchor="t" lIns="0" tIns="0" rIns="0" bIns="0">
                      <a:spAutoFit/>
                    </wps:bodyPr>
                  </wps:wsp>
                </a:graphicData>
              </a:graphic>
            </wp:anchor>
          </w:drawing>
        </mc:Choice>
        <mc:Fallback>
          <w:pict>
            <v:rect fillcolor="#FFFFFF" style="position:absolute;rotation:0;width:6.05pt;height:13.8pt;mso-wrap-distance-left:0pt;mso-wrap-distance-right:0pt;mso-wrap-distance-top:0pt;mso-wrap-distance-bottom:0pt;margin-top:0.05pt;mso-position-vertical-relative:text;margin-left:217.85pt;mso-position-horizontal:center;mso-position-horizontal-relative:margin">
              <v:fill opacity="0f"/>
              <v:textbox inset="0in,0in,0in,0in">
                <w:txbxContent>
                  <w:p>
                    <w:pPr>
                      <w:pStyle w:val="Header"/>
                      <w:pBdr/>
                      <w:rPr/>
                    </w:pPr>
                    <w:r>
                      <w:rPr>
                        <w:rStyle w:val="Pagenumber"/>
                      </w:rPr>
                      <w:fldChar w:fldCharType="begin"/>
                    </w:r>
                    <w:r>
                      <w:instrText> PAGE </w:instrText>
                    </w:r>
                    <w:r>
                      <w:fldChar w:fldCharType="separate"/>
                    </w:r>
                    <w:r>
                      <w:t>2</w:t>
                    </w:r>
                    <w:r>
                      <w:fldChar w:fldCharType="end"/>
                    </w:r>
                  </w:p>
                </w:txbxContent>
              </v:textbox>
              <w10:wrap type="square" side="largest"/>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5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Arial" w:asciiTheme="minorHAnsi" w:eastAsiaTheme="minorEastAsia" w:hAnsiTheme="minorHAnsi"/>
        <w:color w:val="1A1A1A"/>
        <w:sz w:val="24"/>
        <w:szCs w:val="24"/>
        <w:lang w:val="en-US" w:eastAsia="en-US" w:bidi="ar-SA"/>
      </w:rPr>
    </w:rPrDefault>
    <w:pPrDefault>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HTML Preformatted"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90601"/>
    <w:pPr>
      <w:widowControl/>
      <w:bidi w:val="0"/>
      <w:jc w:val="left"/>
    </w:pPr>
    <w:rPr>
      <w:rFonts w:ascii="Times New Roman" w:hAnsi="Times New Roman" w:eastAsia="Times New Roman" w:cs="Times New Roman"/>
      <w:color w:val="00000A"/>
      <w:sz w:val="24"/>
      <w:szCs w:val="24"/>
      <w:lang w:val="en-US" w:eastAsia="en-US" w:bidi="ar-SA"/>
    </w:rPr>
  </w:style>
  <w:style w:type="paragraph" w:styleId="Heading1">
    <w:name w:val="Heading 1"/>
    <w:basedOn w:val="Normal"/>
    <w:next w:val="Normal"/>
    <w:link w:val="Heading1Char"/>
    <w:uiPriority w:val="9"/>
    <w:qFormat/>
    <w:rsid w:val="00990601"/>
    <w:pPr>
      <w:keepNext/>
      <w:keepLines/>
      <w:spacing w:before="480" w:after="0"/>
      <w:outlineLvl w:val="0"/>
    </w:pPr>
    <w:rPr>
      <w:rFonts w:ascii="Calibri" w:hAnsi="Calibri" w:eastAsia="ＭＳ ゴシック" w:cs="" w:asciiTheme="majorHAnsi" w:cstheme="majorBidi" w:eastAsiaTheme="majorEastAsia" w:hAnsiTheme="majorHAns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990601"/>
    <w:pPr>
      <w:keepNext/>
      <w:keepLines/>
      <w:spacing w:before="200" w:after="0"/>
      <w:outlineLvl w:val="2"/>
    </w:pPr>
    <w:rPr>
      <w:rFonts w:ascii="Calibri" w:hAnsi="Calibri" w:eastAsia="ＭＳ ゴシック" w:c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semiHidden/>
    <w:unhideWhenUsed/>
    <w:qFormat/>
    <w:rsid w:val="00990601"/>
    <w:pPr>
      <w:keepNext/>
      <w:keepLines/>
      <w:spacing w:before="200" w:after="0"/>
      <w:outlineLvl w:val="3"/>
    </w:pPr>
    <w:rPr>
      <w:rFonts w:ascii="Calibri" w:hAnsi="Calibri" w:eastAsia="ＭＳ ゴシック" w:c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unhideWhenUsed/>
    <w:qFormat/>
    <w:rsid w:val="00990601"/>
    <w:pPr>
      <w:keepNext/>
      <w:keepLines/>
      <w:spacing w:before="200" w:after="0"/>
      <w:outlineLvl w:val="4"/>
    </w:pPr>
    <w:rPr>
      <w:rFonts w:ascii="Calibri" w:hAnsi="Calibri" w:eastAsia="ＭＳ ゴシック" w:cs="" w:asciiTheme="majorHAnsi" w:cstheme="majorBidi" w:eastAsiaTheme="majorEastAsia" w:hAnsiTheme="majorHAnsi"/>
      <w:color w:val="243F60" w:themeColor="accent1" w:themeShade="7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990601"/>
    <w:rPr>
      <w:rFonts w:ascii="Calibri" w:hAnsi="Calibri" w:eastAsia="ＭＳ ゴシック" w:cs="" w:asciiTheme="majorHAnsi" w:cstheme="majorBidi" w:eastAsiaTheme="majorEastAsia" w:hAnsiTheme="majorHAnsi"/>
      <w:b/>
      <w:bCs/>
      <w:color w:val="345A8A" w:themeColor="accent1" w:themeShade="b5"/>
      <w:sz w:val="32"/>
      <w:szCs w:val="32"/>
    </w:rPr>
  </w:style>
  <w:style w:type="character" w:styleId="Heading3Char" w:customStyle="1">
    <w:name w:val="Heading 3 Char"/>
    <w:basedOn w:val="DefaultParagraphFont"/>
    <w:link w:val="Heading3"/>
    <w:uiPriority w:val="9"/>
    <w:semiHidden/>
    <w:qFormat/>
    <w:rsid w:val="00990601"/>
    <w:rPr>
      <w:rFonts w:ascii="Calibri" w:hAnsi="Calibri" w:eastAsia="ＭＳ ゴシック"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semiHidden/>
    <w:qFormat/>
    <w:rsid w:val="00990601"/>
    <w:rPr>
      <w:rFonts w:ascii="Calibri" w:hAnsi="Calibri" w:eastAsia="ＭＳ ゴシック" w:cs="" w:asciiTheme="majorHAnsi" w:cstheme="majorBidi" w:eastAsiaTheme="majorEastAsia" w:hAnsiTheme="majorHAnsi"/>
      <w:b/>
      <w:bCs/>
      <w:i/>
      <w:iCs/>
      <w:color w:val="4F81BD" w:themeColor="accent1"/>
    </w:rPr>
  </w:style>
  <w:style w:type="character" w:styleId="Heading5Char" w:customStyle="1">
    <w:name w:val="Heading 5 Char"/>
    <w:basedOn w:val="DefaultParagraphFont"/>
    <w:link w:val="Heading5"/>
    <w:uiPriority w:val="9"/>
    <w:qFormat/>
    <w:rsid w:val="00990601"/>
    <w:rPr>
      <w:rFonts w:ascii="Calibri" w:hAnsi="Calibri" w:eastAsia="ＭＳ ゴシック" w:cs="" w:asciiTheme="majorHAnsi" w:cstheme="majorBidi" w:eastAsiaTheme="majorEastAsia" w:hAnsiTheme="majorHAnsi"/>
      <w:color w:val="243F60" w:themeColor="accent1" w:themeShade="7f"/>
    </w:rPr>
  </w:style>
  <w:style w:type="character" w:styleId="InternetLink">
    <w:name w:val="Internet Link"/>
    <w:basedOn w:val="DefaultParagraphFont"/>
    <w:rsid w:val="00990601"/>
    <w:rPr>
      <w:rFonts w:cs="Times New Roman"/>
      <w:color w:val="0000FF"/>
      <w:u w:val="single"/>
    </w:rPr>
  </w:style>
  <w:style w:type="character" w:styleId="BodyTextChar" w:customStyle="1">
    <w:name w:val="Body Text Char"/>
    <w:basedOn w:val="DefaultParagraphFont"/>
    <w:link w:val="BodyText"/>
    <w:qFormat/>
    <w:rsid w:val="00990601"/>
    <w:rPr>
      <w:rFonts w:ascii="Times New Roman" w:hAnsi="Times New Roman" w:eastAsia="Calibri" w:cs="Times New Roman"/>
      <w:color w:val="00000A"/>
      <w:szCs w:val="20"/>
    </w:rPr>
  </w:style>
  <w:style w:type="character" w:styleId="HeaderChar" w:customStyle="1">
    <w:name w:val="Header Char"/>
    <w:basedOn w:val="DefaultParagraphFont"/>
    <w:link w:val="Header"/>
    <w:uiPriority w:val="99"/>
    <w:qFormat/>
    <w:rsid w:val="00990601"/>
    <w:rPr>
      <w:rFonts w:ascii="Times New Roman" w:hAnsi="Times New Roman" w:eastAsia="Times New Roman" w:cs="Times New Roman"/>
      <w:color w:val="00000A"/>
    </w:rPr>
  </w:style>
  <w:style w:type="character" w:styleId="Pagenumber">
    <w:name w:val="page number"/>
    <w:basedOn w:val="DefaultParagraphFont"/>
    <w:uiPriority w:val="99"/>
    <w:semiHidden/>
    <w:unhideWhenUsed/>
    <w:qFormat/>
    <w:rsid w:val="00990601"/>
    <w:rPr/>
  </w:style>
  <w:style w:type="character" w:styleId="HTMLPreformattedChar" w:customStyle="1">
    <w:name w:val="HTML Preformatted Char"/>
    <w:basedOn w:val="DefaultParagraphFont"/>
    <w:link w:val="HTMLPreformatted"/>
    <w:qFormat/>
    <w:rsid w:val="00990601"/>
    <w:rPr>
      <w:rFonts w:ascii="Courier New" w:hAnsi="Courier New" w:eastAsia="Times New Roman" w:cs="Courier New"/>
      <w:color w:val="00000A"/>
      <w:sz w:val="20"/>
      <w:szCs w:val="20"/>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Emphasis">
    <w:name w:val="Emphasis"/>
    <w:qFormat/>
    <w:rPr>
      <w:i/>
      <w:iCs/>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Body Text"/>
    <w:basedOn w:val="Normal"/>
    <w:link w:val="BodyTextChar"/>
    <w:rsid w:val="00990601"/>
    <w:pPr>
      <w:widowControl w:val="false"/>
      <w:snapToGrid w:val="false"/>
      <w:jc w:val="both"/>
    </w:pPr>
    <w:rPr>
      <w:rFonts w:eastAsia="Calibri"/>
      <w:szCs w:val="20"/>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link w:val="HeaderChar"/>
    <w:uiPriority w:val="99"/>
    <w:unhideWhenUsed/>
    <w:rsid w:val="00990601"/>
    <w:pPr>
      <w:tabs>
        <w:tab w:val="center" w:pos="4320" w:leader="none"/>
        <w:tab w:val="right" w:pos="8640" w:leader="none"/>
      </w:tabs>
    </w:pPr>
    <w:rPr/>
  </w:style>
  <w:style w:type="paragraph" w:styleId="Default" w:customStyle="1">
    <w:name w:val="Default"/>
    <w:qFormat/>
    <w:rsid w:val="00990601"/>
    <w:pPr>
      <w:widowControl w:val="false"/>
      <w:bidi w:val="0"/>
      <w:jc w:val="left"/>
    </w:pPr>
    <w:rPr>
      <w:rFonts w:ascii="Times New Roman" w:hAnsi="Times New Roman" w:cs="Times New Roman" w:eastAsia="ＭＳ 明朝"/>
      <w:color w:val="000000"/>
      <w:sz w:val="24"/>
      <w:szCs w:val="24"/>
      <w:lang w:val="en-US" w:eastAsia="en-US" w:bidi="ar-SA"/>
    </w:rPr>
  </w:style>
  <w:style w:type="paragraph" w:styleId="ListParagraph">
    <w:name w:val="List Paragraph"/>
    <w:basedOn w:val="Normal"/>
    <w:uiPriority w:val="34"/>
    <w:qFormat/>
    <w:rsid w:val="00990601"/>
    <w:pPr>
      <w:spacing w:before="0" w:after="0"/>
      <w:ind w:left="720" w:hanging="0"/>
      <w:contextualSpacing/>
    </w:pPr>
    <w:rPr/>
  </w:style>
  <w:style w:type="paragraph" w:styleId="HTMLPreformatted">
    <w:name w:val="HTML Preformatted"/>
    <w:basedOn w:val="Normal"/>
    <w:link w:val="HTMLPreformattedChar"/>
    <w:qFormat/>
    <w:rsid w:val="00990601"/>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Application>LibreOffice/5.2.2.2$Windows_x86 LibreOffice_project/8f96e87c890bf8fa77463cd4b640a2312823f3ad</Application>
  <Pages>2</Pages>
  <Words>538</Words>
  <Characters>2883</Characters>
  <CharactersWithSpaces>3410</CharactersWithSpaces>
  <Paragraphs>24</Paragraphs>
  <Company>University of Winnipeg</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2017-01-10T17:30:00Z</dcterms:created>
  <dc:creator>Jack Zupko</dc:creator>
  <dc:description/>
  <dc:language>en-US</dc:language>
  <cp:lastModifiedBy/>
  <dcterms:modified xsi:type="dcterms:W3CDTF">2017-01-10T14:58:42Z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University of Winnipeg</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